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DB.2015.100 vom 25. November 2015</w:t>
      </w:r>
    </w:p>
    <w:p>
      <w:r>
        <w:t>ZH Steuerrekursgericht, 2015-11-25, DE</w:t>
      </w:r>
    </w:p>
    <w:p>
      <w:r>
        <w:rPr>
          <w:b/>
        </w:rPr>
        <w:t xml:space="preserve">Quelle: </w:t>
      </w:r>
      <w:r>
        <w:t>https://mcp.opencaselaw.ch/entscheid/zh_steuerrekursgericht_DB.2015.100</w:t>
      </w:r>
    </w:p>
    <w:p>
      <w:r>
        <w:t>FR: ZH_STEUERREKURSGERICHT DB.2015.100 du 25 novembre 2015</w:t>
      </w:r>
    </w:p>
    <w:p>
      <w:r>
        <w:t>IT: ZH_STEUERREKURSGERICHT DB.2015.100 del 25 novembre 2015</w:t>
      </w:r>
    </w:p>
    <w:p>
      <w:pPr>
        <w:pStyle w:val="Heading2"/>
      </w:pPr>
      <w:r>
        <w:t>Regeste</w:t>
      </w:r>
    </w:p>
    <w:p>
      <w:r>
        <w:t>Cashpool. Die von der Pflichtigen auf dem Kontokorrent der Schwestergesellschaft stehen gelassenen Guthaben überschreiten ihren Liquiditätsbedarf bei weitem und sind als langfristige Darlehen zu beurteilen. Indem sie hierfür nicht den für langfristige Darlehen marktmässig üblichen Zins verlangt hat, hat sie eine verdeckte Gewinnausschüttung erbracht. Für die Bestimmung des Zinssatzes ist auf die Rundschreiben der ESTV abzustellen, indessen erweist sich der darin für 2011 festgesetzte Zinssatz als zu hoch.</w:t>
      </w:r>
    </w:p>
    <w:p>
      <w:pPr>
        <w:pStyle w:val="Heading2"/>
      </w:pPr>
      <w:r>
        <w:t>Erwägungen</w:t>
      </w:r>
    </w:p>
    <w:p>
      <w:r>
        <w:rPr>
          <w:b/>
        </w:rPr>
        <w:t>E. 1</w:t>
      </w:r>
    </w:p>
    <w:p>
      <w:r>
        <w:t>Schweizerische Eidgenossenschaft, Beschwerdegegnerin,</w:t>
      </w:r>
    </w:p>
    <w:p>
      <w:r>
        <w:rPr>
          <w:b/>
        </w:rPr>
        <w:t>E. 2</w:t>
      </w:r>
    </w:p>
    <w:p>
      <w:r>
        <w:t>Der Saldo auf dem Konto der Pflichtigen bei der D belief sich per Bilanz- stichtag auf folgende Beträge (Einspracheentscheide, je S. 5): Fr. 31.03.2009 … 31.03.2010 … 31.03.2011 … Dieser wurde jeweils zu 0,05% verzinst. a) Eine geldwerte Leistung im vorstehenden Sinn liegt insbesondere auch vor, wenn die Pflichtige ihrer Schwestergesellschaft ein Darlehen gewährt hat, ohne dabei eine im Drittvergleich übliche und damit marktgerechte Verzinsung zu verlangen. Vor- 1 DB.2015.100 1 ST.2015.125</w:t>
      </w:r>
    </w:p>
    <w:p>
      <w:r>
        <w:t>- 8 - liegend ist nicht streitig, dass bei Kontokorrenten und langfristigen Darlehen ein unter- schiedlich hoher Zinssatz zur Anwendung gelangt. Als erstes ist damit die Frage zu entscheiden, ob das Guthaben der Pflichtigen bei der D als Kontokorrent gilt oder lang- fristige und damit üblicherweise höher zu verzinsende Anteile enthält. b) Das Guthaben beruht auf dem "Agreement for running account settlement" aus dem Jahr 2008 zwischen der Pflichtigen und der D (nachfolgend Agreement). Ge- mäss Ziff. 1 Agreement eröffnet die D für die Pflichtige ein Konto für sämtliche Geld- transaktionen, wie "trade and non trade settlements, exchange business settlement, proxy payment, zero balance account, term loan, term deposit, etc." Die Pflichtige kann ihre Mittel jederzeit unter Beachtung einer Frist von zwei Tagen zurückziehen (Ziff. 5 Agreement). Sie ist ebenfalls berechtigt, kurzfristige Kredite zu beziehen (vgl. Ziff. 3 Satz 2 Agreement). Nach der Sachdarstellung der Pflichtigen bezweckt dieser Vertrag den Anschluss an den Cash Pool des Konzerns zwecks kurzfristiger Deponierung überschüssiger und den kurzfristigen Bezug benötigter Liquidität. Cashpooling im Konzern war Gegenstand des Entscheids StRG I, 26. No- vember 2014, 1 ST.2014.153 (noch nicht rechtskräftig, vgl. zum Folgenden Lukas Handschin, Einige Überlegungen zum Cashpooling im Konzern, in: Bohnet/Wessner [Hrsg.]: Droit des société, Mélanges en l'honneur de Roland Ruedin, 2006, S. 273 ff.). Demnach bezeichnet der Begriff "Cashpooling" (auch Liquiditätsbündelung genannt) allgemein einen konzerninternen Liquiditätsausgleich durch ein zentrales, meist von der Konzernobergesellschaft übernommenes Finanzmanagement, das den Konzernun- ternehmen überschüssige Liquidität entzieht bzw. Liquiditätsunterdeckungen durch Kredite ausgleicht. Statt dass sich einzelne Konzerngesellschaften ihre liquiden Mittel von Banken beschaffen, wenden sie sich an den Cashpool respektive an diejenigen Konzernmitglieder, die Liquiditätsüberschüsse in den Cashpool einzahlen. Dadurch sollen die Finanzierungskosten des Konzerns insgesamt gesenkt werden. Ein Cash- pool bewirkt, dass rechnerisch oder effektiv die Liquiditätsguthaben der Kornzernge- sellschaften regelmässig, in der Regel täglich, saldiert und zentral verwaltet werden. Beim sogenannten "Zero Balancing" werden die Mittel auf ein zentrales Konto über- führt, das auf den Namen derjenigen Gesellschaft lautet, welche im Cashpool die Rolle des Pool Leaders übernimmt. Das kann die Konzernmutter sein oder auch eine speziell zu diesem Zweck gegründete Finanzgesellschaft. 1 DB.2015.100 1 ST.2015.125</w:t>
      </w:r>
    </w:p>
    <w:p>
      <w:r>
        <w:t>- 9 - Daraus ist mit Bezug auf den vorliegenden Fall der Schluss zu ziehen, dass Cashpool-Guthaben einen ganz bestimmten Sinn und Zweck (Liquiditätsbündelung, Liquiditätsausgleich etc.) verfolgen. Im Cashpool "parkiert" verbleiben damit letztlich nur die Geldmittel, welche im Rahmen der Liquidität kurzfristig auch wieder benötigt werden. c) Das kantonale Steueramt macht geltend, dass das bei der D bestehende Guthaben zu einem hohen Anteil den Charakter einer langfristigen Anlage aufweist, und verweist hierzu auf die "goldenen Bilanzregel", wonach bei einer Unternehmung in der Regel die kurzfristigen Aktiven den verbuchten kurzfristigen Passiven (d.h. dem kurzfristigen Bedarf an liquiden Mitteln) zu entsprechen haben (Beschwerde- /Rekursantwort, S. 2 unten). aa) Der Liquiditätsgrad einer Unternehmung wird anhand bestimmter Kenn- zahlen bestimmt (Boemle/Stolz, Unternehmungsfinanzierung, 13. A., 2002, S. 142 f). Liquidität 1. Stufe (= Cash Ratio): Flüssige Mittel / kurzfristiges Fremdkapital Liquidität 2. Stufe (= Quick Ratio): (Flüssige Mittel + Forderungen) / kurzfristiges Fremdkapital Liquidität 3. Stufe (= Current Ratio): Umlaufvermögen / kurzfristiges Fremdkapital Die genannten Autoren erachten die Barliquidität (Liquidität 1. Stufe) als un- geeignet zur Beurteilung der Zahlungsbereitschaft, denn kurzfristige Verbindlichkeiten würden sinnvollerweise nicht einzig aus den vorhandenen Zahlungsmittelbeständen beglichen. Für die Liquidität 2. Stufe gilt für Handels- und Industrieunternehmen als Mindestnorm ein Verhältnis von 1 : 1, für die Liquiditätsstufe 3 von 2 : 1. Die Liquidi- tätsstufe 3 wird auch als "Banker's Rule" bezeichnet, weil sie vor allem bei Kreditprü- fungen durch Banken angewendet wird. Die Vorgabe von 2 : 1 erklärt sich aus der Sicht der Kreditgeber, welche sich dadurch vergewissern wollen, ob ihre Forderungen bei einer Zwangsliquidation der Firma noch gedeckt wären. Übersteigt das Umlaufver- mögen die kurzfristigen Verbindlichkeiten um das Doppelte, so riskieren die Gläubiger selbst dann nichts, wenn das Umlaufvermögen nur zu 50% der Bilanzwerte realisiert werden kann (Boemle/Stolz, S. 143). Weiter betonen die Autoren die Bedeutung des so genannten "Acid Test", gemäss welchem die Zahlungsmittel und die Kundenaus- stände nicht niedriger sein sollten als die kurzfristigen Verbindlichkeiten. Die Autoren stellen zudem Überlegungen zur Mindestliquidität an. Als Mindestliquidität bezeichnet man jenen Bestand an vorhandenen Zahlungsmitteln und nicht ausgenützten Kreditli- 1 DB.2015.100 1 ST.2015.125</w:t>
      </w:r>
    </w:p>
    <w:p>
      <w:r>
        <w:t>- 10 - miten bei Banken, der nicht unterschritten werden sollte. Hierfür lässt sich keine abso- lute Grösse festlegen, nach den aufgezählten Beispielen aus der Praxis liegt diese zwischen 2% des Jahresumsatzes bis zu zwei Monatsumsätzen (Boemle/Stolz, S. 145 f.). Diese Kennzahlen stellen eine sachgerechte Grundlage dar, um zu beurteilen, welcher Stand von Liquidität im Allgemeinen angemessen ist. Bei der Pflichtigen ent- spricht die Summe von flüssigen Mitteln und Forderungen ziemlich genau dem Um- laufvermögen, d.h. sie verfügt über keine Warenvorräte. Ob das Fremdkapital kurzfris- tig ist oder nicht, geht aus den Bilanzen nicht hervor, weshalb zu Gunsten der Pflichtigen von generell kurzfristigem Fremdkapital ausgegangen wird (Werte in TCHF): Stand per Umlaufvermögen Fremdkapital Differenz Fr. Fr. Fr. 31. März 2010 … 31. März 2011 … Für die Beurteilung der Zahlungsbereitschaft ist die Liquidität 1. Stufe nach dem Gesagten nicht massgebend. Die Liquidität 2. und 3. Stufe sind praktisch iden- tisch und betragen 2,3 : 1 per 31. März 2010 und genau 3 : 1 per 31. März 2011. Mit Bezug auf die Liquidität 3. Stufe ist aber anzumerken, dass die Pflichtige gar keine Vorräte hatte, sondern es sich beim Umlaufvermögen um flüssige Mittel handelte und deshalb keine Gefahr bestand, dass dieses bei einer Zwangsliquidation nur zu 50% der Bilanzwerte realisiert werden könnte. Die Liquidität 3. Stufe ergibt demnach hier keine relevante Aussage. Den so genannten Acid Test besteht die Pflichtige bei weitem. Wei- ter beträgt der Jahresumsatz 2009/10 rund Fr. .. Mio. und 2010/11 rund Fr. .. Mio., was nach dem Gesagtem selbst bei einer nach den Beispielen bei Boemle/Stolz maximal in der Praxis festgestellten Mindestliquidität von zwei Monaten liquide Mittel von Fr. .. bis .. Mio. verlangt. Auch diese Beträge wurden weit überschritten. Damit ist festzustellen, dass die Pflichtige erheblich mehr liquide Mittel hält, als es bei einer Beurteilung nach den allgemein zugänglichen Liquiditätskennzahlen üblich und erforderlich ist. 1 DB.2015.100 1 ST.2015.125</w:t>
      </w:r>
    </w:p>
    <w:p>
      <w:r>
        <w:t>- 11 - bb) Weiter verfügte die Pflichtige gemäss der Übersicht auf S. 5 der Einspra- cheentscheide bereits seit dem 31. Dezember 2004 und damit vor Übernahme der li- quiden Mittel durch die D 2008 über sehr hohe Guthaben gegenüber dem Konzern (vgl. E-Mail vom 19. Februar 2009 bezüglich des Transfers des Kontos zu D). Diese Guthaben begannen ab 31. Dezember 2007 das Fremdkapital zu überschreiten. Zugleich war ab diesem Zeitpunkt das Umlaufvermögen in etwa doppelt so hoch wie das Fremdkapital oder noch höher. Daraus ist der Schluss zu ziehen, dass es sich beim Belassen von überschüssiger Liquidität auf einem Kontokorrent um eine seit lan- gem verfolgte Strategie der Pflichtigen handelt. Nach den Feststellungen des kantona- len Steueramts fiel zudem das Guthaben im Geschäftsjahr 2009/10 nie unter Fr. … Mio. und 2010/11 nie unter Fr. … Mio. Dies verdeutlicht weiter, dass offenkundig kein Bedarf auf Bereithaltung von liquiden Mitteln in dieser Höhe bestanden hat. Das Guthaben an die D (in der Bilanz jeweils als "Darlehen an D" bezeichnet) beträgt per 31. März 2010 70% und per 31. März 2011 83,9% der Bilanzsumme. Damit stellt es nicht nur ein ausserordentliches Klumpenrisiko dar, sondern hätte sich bei op- timaler Anlage dieser Bilanzposition ein erheblicher Ertrag für die Unternehmung er- wirtschaften lassen. Die Anlagepolitik mit Bezug auf diesen Betrag ist für die Pflichtige quantitativ bedeutend. Damit bestand ein erhöhtes Interesse an der optimalen Anlage. c) Aus diesen Umständen ist zu schliessen, dass ein erheblicher Spielraum zur langfristigen und lukrativeren Anlage dieser Mittel bestanden hat, welcher von der Pflichtigen nicht genutzt wurde. Bei dieser Untätigkeit kann es sich nicht um die Folge von ungeschickten Dispositionen gehandelt haben. Die Pflichtige ist Teil eines Gross- konzerns, bei welchem ein professionelles Management der Finanzen vorausgesetzt werden kann. In Anbetracht der Höhe des betroffenen Betrags kann es gar nicht an- ders gewesen sei, als dass der suboptimalen Anlage ein Entscheid der Leitungsorgane zugrunde lag. Demnach hat die Pflichtige ihrer Schwestergesellschaft bewusst erhebli- che Mittel zu nicht marktkonformen Bedingungen zur Verfügung gestellt, was im Grundsatz als offenkundiges Missverhältnis zwischen Leistung und Gegenleistung und damit als eine verdeckte Gewinnausschüttung zu qualifizieren ist. d) Was die Pflichtige dagegen einwendet, überzeugt nicht. Sie macht geltend, dass die Liquiditätsreserve der Sicherstellung der erforder- lichen Mittel für den Fall eines kurzfristigen ausserordentlichen Liquiditätsbedarfs ge- 1 DB.2015.100 1 ST.2015.125</w:t>
      </w:r>
    </w:p>
    <w:p>
      <w:r>
        <w:t>- 12 - dient habe. Dabei habe es sich um ein Liquiditätspolster zur Finanzierung tatsächlich geplanter Transaktionen gehandelt (Beschwerde/Rekurs, S. 11). Hierzu verweist sie auf eine kurzfristige Zahlung von Fr. … Mio. an die Muttergesellschaft im Juli 2011 so- wie eine geplante Akquisition von Fr. … Mio. im Oktober 2015. In der Replik zählt sie eine Reihe weiterer geplanter Akquisitionen auf. Es liegt im Wesen jeder Unternehmensführung, dass gelegentlich grössere Anschaffungen getätigt werden müssen. Es ist Aufgabe der Finanzplanung, hierzu die nötigen Mittel termingerecht zu beschaffen. Es ist nicht ersichtlich, weshalb die Pflichti- ge zu diesem Zweck hätte flüssige Mittel permanent bereit halten müssen. Dies umso weniger, als dass sie ja gerade im Konzern eingebunden war und zur Bestreitung von Investitionen unbestritten auf diesen hätte zurück greifen können. Es ist deshalb auch nicht einzusehen, weshalb die Auszahlung der Dividende im Juli 2011 die Pflichtige dazu genötigt hätte, bereits in den Vorjahren ständig liquide Mittel in der streitigen Hö- he zur Verfügung zu halten. Hinzu kommt, dass die Dividendenauszahlung in einem vorliegend nicht streitigen Geschäftsjahr erfolgte. Zudem verblieb auch nach dieser noch ein Betrag von rund Fr. … Mio. auf dem Konto, sodass immer noch ein sehr ho- hes Liquiditätspolster verblieb. Dasselbe trifft zu auf die in der Replik aufgezählten Vorhaben, liegen diese doch betragsmässig nicht in einem Bereich, welche das Ge- samtbild massgeblich beeinflussen könnte. Sie liessen sich zum grössten Teil auch aus dem von der vorinstanzlichen Umqualifizierung nicht betroffenen Restbetrag sowie dem weiteren kurzfristigen Umlaufvermögen gemäss Bilanz finanzieren. Nicht weiter hilft der Pflichtigen auch ihr Einwand, die Anlage der Liquiditäts- position sei ein Entscheid in ihrem freien unternehmerischen Ermessen, und wenn sie weiter darauf verweist, dass sie diese auch langfristig zu besseren Bedingungen bei der D hätte deponieren können. Wie bereits eingangs ausgeführt, sind steuerrechtlich die Transaktionen unter dem Grundsatz des Drittvergleichs zu beurteilen. Weiter wendet sie ein, dass zivilrechtlich kein Darlehen vorliege, da sie die Mittel jederzeit hätte zurückfordern können und das Vertragsverhältnis deshalb nicht mit einem langfristigen Darlehensvertrag vergleichbar sei, bei welchem die Mittel in der Regel gebunden seien. Das Steuerrekursgericht stellt bei seiner Beurteilung auf die tatsächlich gelebten Verhältnisse ab; wenn, wie bereits vorstehend ausgeführt, ein So- ckelbetrag in zweistelliger Millionenhöhe permanent unberührt stehen gelassen wird, entspricht dies nicht mehr dem Sinn und Zweck eines Kontokorrents. 1 DB.2015.100 1 ST.2015.125</w:t>
      </w:r>
    </w:p>
    <w:p>
      <w:r>
        <w:t>- 13 - e) Streitig ist ferner die genaue Höhe des Sockelbetrags. Das kantonale Steu- eramt stellte hierzu nach eigenem Bekunden auf den tiefsten Stand des Kontos in den jeweiligen Geschäftsjahren ab (2009/10 Fr…. Mio., 2010/11 Fr…. Mio.). Nach Umquali- fizierung der streitigen Guthaben in langfristige Darlehen ergeben sich für Ermittlung der vorstehenden Kennzahlen folgenden Werte (in TCHF): Stand per Umlaufvermögen Fremdkapital Fr. Fr. 31. März 2010 31. März 2011 Daraus resultiert für die Pflichtige ein Liquiditätsgrad 2 von 1,06 : 1 (Ge- schäftsjahr 2009/10) bzw. von 1,18 : 1 (Geschäftsjahr 2010/11). Diese liegen im Rah- men der üblichen Vorgaben. Damit verbleibt auch nach der von der Vorinstanz vorge- nommenen rechtliche Umqualifizierung des Guthabens eine sehr gute Liquiditätslage. Die Pflichtige rügt, dass damit die Vorgabe des Liquiditätsgrads 3, nämlich ein Verhältnis von 2 : 1, nicht mehr eingehalten werde. Dem ist wie bereits erwähnt entge- gen zu halten, dass der Liquiditätsgrad 3 zur Beurteilung der Kreditwürdigkeit nicht greift, da die Pflichtige über gar keine Vorräte oder sonstige Aktiven des Umlaufvermö- gens verfügt, welche bei einer Zwangsliquidation nur mit Einschlag realisiert werden könnten. Der Liquiditätsgrad 3 erscheint deshalb bei ihr als nicht aussagekräftig. Viel- mehr ist auch nach Vornahme der steueramtlichen Korrektur weiterhin von einer sehr komfortablen Liquiditätssituation der Pflichtigen auszugehen. Soweit die Pflichtige im Eventualantrag nur den Anteil, welcher den Liquiditätsgrad 3 (Current Ratio) übersteigt, als Darlehen qualifizieren will, ist ihr nicht zu folgen.</w:t>
      </w:r>
    </w:p>
    <w:p>
      <w:r>
        <w:rPr>
          <w:b/>
        </w:rPr>
        <w:t>E. 3</w:t>
      </w:r>
    </w:p>
    <w:p>
      <w:r>
        <w:t>A., 2013, § 64 N 217 StG). Kreisschreiben und Rundschreiben der ESTV, die keine von der gesetzlichen Ordnung abweichenden Bestimmungen enthalten dürfen, sind für die Justizbehörden, deren Aufgabe es ist, die Einhaltung von Verfassung und Gesetz im Einzelfall zu überprüfen, nicht verbindlich. Die Gerichtsbehörden sollen diese bei ihrer Entscheidung allerdings mitberücksichtigen, sofern sie eine dem Einzelfall ange- passte und gerecht werdende Auslegung der anwendbaren gesetzlichen Bestimmun- gen zulassen (RB 2006 Nr. 78 E. 2.5). Der Nachweis eines marktmässigen Verhaltens ist im Rahmen eines individu- ellen Drittvergleichs auch bei Abweichung von den in den Rundschreiben der ESTV vorgegebenen Mindest- bzw. Höchstzinssätzen zulässig. Das vom Bundesgericht als "safe harbour rule" bezeichnete jährliche Rundschreiben bietet den Steuersubjekten insofern einen rechtssicheren Bereich, als nach der Praxis der Steuerbehörden keine aus steuerlicher Sicht unangemessene Leistung vorliegt, wenn die Zinssätze eingehal- ten sind (BGE 140 II 88 E. 7, auch zum Folgenden). Werden jedoch unter nahestehen- den Personen Konditionen vereinbart, welche von den in den Rundschreiben festge- haltenen Vorgaben abweichen, obliegt die Substanziierungs- und Beweislast für deren Marktkonformität dem Steuerpflichtigen (VGr, 25. Juni 2014, SB.2013.00008 E 3.2, BGr, 20. Juni 2005, 2A.355/2004; StRK I, 21. Dezember 2012, 1 DB.2012.238 + 1 ST.2012.263/264; Brülisauer/Poltera, Art. 58 N 104). b) Die Pflichtige macht in der Replik geltend, dass bei Annahme einer länge- ren Laufzeit zur Beurteilung der marktüblichen Verzinsung ein entsprechendes Gutha- ben fingiert werden müsste. Hierzu verweist sie auf die Zinssätze für Festgeld in CHF mit einer Laufzeit von zwölf Monaten. Nach den von ihr eingeholten Auskünften hätte sie bei der Credit Suisse AG im Geschäftsjahr 2009/10 einen Zins von 0,64% und 2010/11 einen solchen von 0,42% bezahlen müssen). Bei der UBS AG habe 2009/10 der Zins zwischen 0,62% und 0,84% sowie 2010/11 zwischen 0,5% und 0,62% betra- 1 DB.2015.100 1 ST.2015.125</w:t>
      </w:r>
    </w:p>
    <w:p>
      <w:r>
        <w:t>- 15 - gen. Weiter verweist sie darauf, dass sie auch die Möglichkeit gehabt habe, die Geld- mittel bei der D längerfristig anzulegen. Dabei hätte sie bei einer Laufzeit von unter zwölf Monaten einen Zinssatz entsprechend dem LIBOR der entsprechenden Währung und Laufzeit zuzüglich 12,5 bp bzw. bei einer Laufzeit von über zwölf Monaten zuzüg- lich 25 bp erhalten. Dies habe für 2009/10 einem durchschnittlichen Zinssatz von 0,596% und für 2010/11 von 0,404% entsprochen (Replik, S. 8 oben). Weiter rügt sie, dass die Vorgaben des Rundschreibens gegenüber der Ver- zinsung kurzfristiger Guthaben zu hoch ausfielen. Diese lägen sogar über dem Zins- satz für zehnjährige Bundesobligationen. Demgegenüber habe selbst die Konzern- gruppe im Juni 2009 am Kapitalmarkt Obligationen mit einer Laufzeit von zehn Jahren mit einem tieferen Zinssatz emittieren können. Dies zeige, dass die Erfahrungszahlen im Rundschreiben hier nicht einschlägig seien. c) Gemäss den von der Vorinstanz mit der Beschwerde-/Rekursantwort einge- reichten Unterlagen der ESTV werden die Zinssätze im Rundschreiben aufgrund von Renditen auf langfristigen Anleihen in CHF auf dem Kapitalmarkt ermittelt. Gemäss der tabellarischen Übersicht wurde dabei mit Bezug auf die Vorschüsse an Beteiligte auf die Weise vorgegangen, dass zunächst der Durchschnitt berechnet wurde zwischen einem Index über den inländischen Obligationenmarkt (SWIBO Dom T bzw. SBI DOM), der Rendite von öffentlichen Anleihen und von Renditen von Anleihen der Ban- ken/Industrie. Das Ergebnis wurde der Rendite der 10-jährigen Bundesobligationen gegenüber gestellt und daraus der massgebliche Zinssatz hergeleitet. Dieser wurde dann an einer Besprechung mit Vertretern der Schweizerischen Bankiervereinigung definitiv festgesetzt. Konkret basierte der jeweils im Januar oder Februar für dasselbe Jahr getroffene Entscheid auf folgenden Zahlen: 2007 2008 2009 2010 2011 Durchschnitt (aus 3) 2,76% 3,01% 2,51% 2,14% 1,84% Bundesobligationen 2,62% 2,97% 2,33% 2,07% 1,63% Zinssatz Rundschreiben 2,75% 3,25% 2,50% 2,25% 2,25%. d) Wie sich aus der Zusammenstellung der Vorinstanz in den Einspracheent- scheiden (S. 5) ergibt, lag das Guthaben der Pflichtigen gegenüber der D seit 2004 immer im Bereich zwischen minimal Fr. … Mio. und maximal Fr. … Mio. Mithin ist im Umfang des Sockelbetrags von einer seit 2004 konstant hohen Darlehenshingabe aus- 1 DB.2015.100 1 ST.2015.125</w:t>
      </w:r>
    </w:p>
    <w:p>
      <w:r>
        <w:t>- 16 - zugehen, und zwar unabhängig von der rechtlichen Ausgestaltung als Kontokorrent. Legt aber eine Gesellschaft nicht benötigte liquide Mittel über Jahre hinweg in Form eines Darlehens bei einer nahestehenden Konzerngesellschaft an, so sind die auf län- gerfristige Anlagen ausgerichteten "Save Haven"-Zinssätze der ESTV sehr wohl die geeignete Referenzgrösse für den Drittvergleich (StRK I, 21. Dezember 2012, 1 DB.2012.238 + 1 ST.2012.263/264, bestätigt mit VGr, 25. Juni 2014, SB.2013.00008). Soweit die Pflichtige in ihrer sehr ausführlichen Argumentation immer von der unzutref- fenden Annahme ausgeht, der streitige Betrag sei marktkonform als Kontokorrent ver- zinst worden, geht sie deshalb bereits im Ansatz fehl. Mithin ist davon auszugehen, dass bei Beachtung des Drittvergleichs die Pflichtige den betreffenden Betrag eben gerade nicht auf dem Kontokorrent belassen hätte, sondern eine lukrativere, langfristi- ge Anlage gesucht hätte. Soweit die Pflichtige weiter mit zwölfmonatigen Festgeldanla- gen als Vergleichsbasis argumentiert, hilft ihr dies ebenfalls nicht weiter, weil vorlie- gend im Ergebnis von längeren Laufzeiten auszugehen ist. Die Verzinsung des Restbetrags auf dem Kontokorrent ist im Übrigen nicht streitig. Nicht weiter hilft der Pflichtigen zudem ihr Einwand, dass der Konzern selber sogar zu einem tieferen Zinssatz Anleihen habe aufnehmen können. Sie verweist hier- zu auf die Internetseite des Konzerns. Dabei handelt es sich indessen um Anleihen in einer Fremdwährung. Wie aus den publizierten Rundschreiben der ESTV für Vor- schüsse und Darlehen in Fremdwährungen hervorgeht, lagen ab 2009 die Zinssätze für Darlehen in dieser Fremdwährung erheblich unter denjenigen in CHF, weshalb für diese Fälle die Übernahme der Zinssätze für Darlehen in CHF vorgeschrieben wird. Die vom Konzern bezahlten Zinsen für Darlehen können deshalb für die Pflichtige als Gesellschaft mit Sitz in der Schweiz für den erzielbaren Zinsertrag auf vergebenen Anleihen nicht massgeblich sein. Das von ihr angerufene Beispiel eignet sich deshalb nicht als Vergleichsgrundlage. e) Bei den von den Vorinstanzen gelieferten Daten der ESTV sticht indessen hervor, dass 2011 der festgesetzte Zins erheblich von den zugrunde liegenden Werten abweicht. Während in den vorangehenden Jahren jeweils auf den höheren Vergleichs- wert (= "Durchschnitt [aus 3]") abgestellt und dieser entweder übernommen oder auf die nächsten 0,25% aufgerundet wurde, wurde 2011 der Rückgang der Zinsen um 0,3% bzw. 0,44% überhaupt nicht berücksichtigt. Das Besprechungsprotokoll hält dazu fest, dass man zwar basierend auf den Daten eine geringe Zinsreduktion ins Auge ge- fasst habe, jedoch unter Berücksichtigung des Trends, dass die Zinsen in letzter Zeit 1 DB.2015.100 1 ST.2015.125</w:t>
      </w:r>
    </w:p>
    <w:p>
      <w:r>
        <w:t>- 17 - wieder im Steigen seien und im laufenden Jahr mit einem weiteren Anstieg gerechnet werden dürfe, den Zinssatz auf dem gleichen Niveau des Vorjahres von 2,25% belas- sen habe. Dieser Entscheid lässt sich nicht nachvollziehen. Grundsätzlich drängt es sich bei einem schematischen Vorgehen wie bei der Festsetzung der fraglichen Zinssätze durch die ESTV auf, dass man sich an die einmal gewählte Methode hält. Wenn des- halb die Daten eine markante Abnahme aufzeigen, ist zu erwarten, dass diese auch übernommen wird. Überdies hat sich die Annahme, dass der Zinstrend wieder aufwärts zeige, als vollständig falsch erwiesen, und wurden denn auch im nächsten Rund- schreiben die Zinssätze für 2012 auf 1,5% gesenkt. Unter Weiterführung der vor 2011 angewandten Methode wäre der Zinssatz für 2011 auf 2,0% festzusetzen gewesen. Davon ist auch vorliegend auszugehen. Dies ergibt auf dem Darlehen von Fr. … Mio. eine Korrektur für den Zeitraum vom 1. Januar bis 31. März 2011 um 0,25%, somit Fr. …. Der steuerbare Reingewinn 2010/11 ist damit von Fr. … auf Fr. … bzw. gerundet Fr. … herabzusetzen (Einspracheentscheid Staat- und Gemeindesteuern S. 9; die Tabelle im Einspracheentscheid direkte Bundessteuer, S. 9, geht von den falschen Anfangswerten aus). Aufgrund der im Vergleich zur streitigen Aufrechnung insgesamt geringfügigen Änderung verzichtet des Steuerrekursgericht auf eine Nachführung der Steuerrückstellung.</w:t>
      </w:r>
    </w:p>
    <w:p>
      <w:r>
        <w:rPr>
          <w:b/>
        </w:rPr>
        <w:t>E. 4</w:t>
      </w:r>
    </w:p>
    <w:p>
      <w:r>
        <w:t>Die Pflichtige rügt bei diesem Ergebnis einen Verstoss gegen Art. 9 des Doppelbesteuerungsabkommens zwischen der Schweiz und Grossbritannien und macht geltend, dass gestützt darauf im internationalen Verhältnis die Verrechnungs- preisbestimmungen vorgingen. Diese richteten sich in erster Linie nach dem OECD- Musterabkommen dargelegten Transfer Pricing Principles und nicht nach den Praxis- festlegungen der Steuerbehörden. Art. 9 Abs. 1 des Abkommens zwischen der Schweizerischen Eidgenossen- schaft und dem Vereinigten Königreich von Grossbritannien und Nordirland zur Ver- meidung der Doppelbesteuerung auf dem Gebiet der Steuern vom Einkommen vom</w:t>
      </w:r>
    </w:p>
    <w:p>
      <w:r>
        <w:rPr>
          <w:b/>
        </w:rPr>
        <w:t>E. 8</w:t>
      </w:r>
    </w:p>
    <w:p>
      <w:r>
        <w:t>Dezember 1977 (SR 0.672.936.712) enthält den Vorbehalt des Drittvergleichs vor internen Vereinbarungen zwischen verbundenen Unternehmen. Inwiefern die Pflichtige daraus etwas zu ihren Gunsten ableiten will, ist nicht ersichtlich. Wie bereits ausge- führt, sind zudem ihre als Vergleichsbasis vorgelegten Beispiele nicht einschlägig, 1 DB.2015.100 1 ST.2015.125</w:t>
      </w:r>
    </w:p>
    <w:p>
      <w:r>
        <w:t>- 18 - weshalb sich von vornherein kein Konflikt zwischen den internationalen Verrechnungs- preismethoden und der von der Vorinstanz angewandten Methode gestützt auf das Rundschreiben ergibt. 5. Gestützt auf diese Erwägungen sind die Rechtsmittel teilweise gutzuheis- sen. Aufgrund ihres nahezu vollständigen Unterliegens sind die Kosten des Verfahrens der Pflichtigen aufzuerlegen (Art. 144 Abs. 1 DBG und § 151 Abs. 1 StG) und ist ihr keine Parteientschädigung zuzusprechen (Art. 144 Abs. 4 DBG i.V.m. Art. 64 Abs. 1 - 3 des Bundesgesetzes über das Verwaltungsverfahren vom 20. Dezember 1968 sowie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