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DB.2014.81 vom 18. März 2013</w:t>
      </w:r>
    </w:p>
    <w:p>
      <w:r>
        <w:t>ZH Steuerrekursgericht, 2013-03-18, DE</w:t>
      </w:r>
    </w:p>
    <w:p>
      <w:r>
        <w:rPr>
          <w:b/>
        </w:rPr>
        <w:t xml:space="preserve">Quelle: </w:t>
      </w:r>
      <w:r>
        <w:t>https://mcp.opencaselaw.ch/entscheid/zh_steuerrekursgericht_DB.2014.81</w:t>
      </w:r>
    </w:p>
    <w:p>
      <w:r>
        <w:t>FR: ZH_STEUERREKURSGERICHT DB.2014.81 du 18 mars 2013</w:t>
      </w:r>
    </w:p>
    <w:p>
      <w:r>
        <w:t>IT: ZH_STEUERREKURSGERICHT DB.2014.81 del 18 marzo 2013</w:t>
      </w:r>
    </w:p>
    <w:p>
      <w:pPr>
        <w:pStyle w:val="Heading2"/>
      </w:pPr>
      <w:r>
        <w:t>Regeste</w:t>
      </w:r>
    </w:p>
    <w:p>
      <w:r>
        <w:t>Kosten für einen Kuraufenthalt stellen nur dann abzugsfähige Krankheitskosten dar, wenn sie medizinisch klar indiziert sind. Dieser Nachweis wurde hier nicht erbracht.</w:t>
      </w:r>
    </w:p>
    <w:p>
      <w:pPr>
        <w:pStyle w:val="Heading2"/>
      </w:pPr>
      <w:r>
        <w:t>Erwägungen</w:t>
      </w:r>
    </w:p>
    <w:p>
      <w:r>
        <w:rPr>
          <w:b/>
        </w:rPr>
        <w:t>E. 2</w:t>
      </w:r>
    </w:p>
    <w:p>
      <w:r>
        <w:t>ST.2014.96</w:t>
      </w:r>
    </w:p>
    <w:p>
      <w:r>
        <w:t>- 5 - Arztzeugnisse aus dem Jahr 2009 wurden von Dr.med. G, F, ausgestellt. Auch wenn dem pflichtigen Ehemann eine vollständige posttraumatische Querschnittslähmung attestiert wird, ergibt sich daraus noch keine zwingende Notwendigkeit für einen zwei- wöchigen Kuraufenthalt im Frühjahr und einen solchen von einer Woche im Sommer 2009. Weshalb im ersten Zeugnis – offensichtlich nachträglich und ohne nähere Be- gründung – die Ehefrau miteinbezogen worden ist, bleibt im Dunklen. Die Begriffe des Kuraufenthalts und der Erholungskur sind nicht klar umrissen, weshalb sich ver- gleichsweise strenge Anforderungen an die Substanziierung der gesundheitlichen Be- einträchtigung sowie der zur Behebung oder Linderung vorgesehenen medizinischen Massnahmen rechtfertigen. Andernfalls wäre eine Abgrenzung gegenüber rein präven- tiven Vorkehrungen oder gar blosser Regeneration kaum möglich. Dies gilt umso mehr, als Hausärzte aller Erfahrung nach geneigt sind, derartige Bescheinigungen zugunsten ihrer Patienten auszustellen. Laut Steuererklärung 2009 (wie auch schon im Vorjahr) ist der Pflichtige IV-Rentner und auch die pflichtige Ehefrau geht keiner Erwerbstätig- keit nach. Irgendwelche familiäre Betreuungspflichten sind nicht aktenkundig. Unter diesen Umständen hätte es sich aufgedrängt, dass die chronischen Erschöpfungszu- stände der damals erst 36-jährigen Ehefrau substanziiert und belegt worden wären. Mit Bezug auf den Pflichtigen wäre näher darzulegen und wenigstens zu plausibilisieren gewesen, inwiefern der blosse Aufenthalt in D selbst ohne medizinische Behandlung eine notwendige Massnahme zur Linderung seines Leidens dargestellt hat. Eine solche rechtsgenügende Sachdarstellung haben die Pflichtigen nicht erbracht. Diese Erwägungen führen zur Abweisung von Beschwerde und Rekurs. An- zumerken bleibt, dass neben Zahlungserleichterungen auch die Möglichkeit des Erlas- ses der Steuern im Bezugsverfahren (Art. 166 f. DBG sowie §§ 177 und 183 ff. StG) besteht.</w:t>
      </w:r>
    </w:p>
    <w:p>
      <w:r>
        <w:rPr>
          <w:b/>
        </w:rPr>
        <w:t>E. 3</w:t>
      </w:r>
    </w:p>
    <w:p>
      <w:r>
        <w:t>a) Privaten ist auf entsprechendes Ersuchen die Bezahlung von Verfah- renskosten und Kostenvorschüssen zu erlassen, wenn ihnen die nötigen Mittel fehlen und ihre Begehren nicht offensichtlich aussichtslos erscheinen (§ 115 StG i.V.m. § 16 Abs. 1 des Verwaltungsrechtspflegegesetzes vom 24. Mai 1959/8. Juni 1997). Neben dieser kantonalen Vorschrift leitet das Bundesgericht aus Art. 29 Abs. 3 der Bundes- verfassung vom 18. April 1999 unter den nämlichen Voraussetzungen ein Recht auf unentgeltliche Rechtspflege für alle staatlichen Verfahren ab (Richner/Frei/Kaufmann/ 2 DB.2014.81 2 ST.2014.96</w:t>
      </w:r>
    </w:p>
    <w:p>
      <w:r>
        <w:t>- 6 - Meuter, Art. 144 N 21 ff. DBG, und § 151 N 32 ff. StG, je auch zum Folgenden). Beide Voraussetzungen (Bedürftigkeit und fehlende Aussichtslosigkeit) müssen kumulativ erfüllt sein. b) Bedürftig ist eine Partei, wenn sie zur Leistung der Prozesskosten Mittel zur Deckung des Grundbedarfs für sich und ihre Familie angreifen müsste. Bedürftigkeit liegt somit vor, wenn ein Gesuchsteller die für das Verfahren erforderlichen Mittel nicht innert wenigen Monaten aus seinem realisierbaren Einkommen, abzüglich der für ihn und seine Familie notwendigen Lebenshaltungskosten, aufbringen kann (BGE 109 Ia 5 = Pra 72 Nr. 233). Massgebend sind die konkreten Umstände des Einzelfalls. Die Be- dürftigkeit ist aufgrund der gesamten Verhältnisse, namentlich der Einkommenssituati- on, der Vermögensverhältnisse und allenfalls der Kreditwürdigkeit zu beurteilen (Kas- par Plüss in: Alain Griffel (Hrsg.), Kommentar VRG, 3. A., 2014, § 16 N 19 f. VRG mit Hinweis). Massgebend ist die gesamte wirtschaftliche Situation zur Zeit der Ge- suchseinreichung. Aussichtslos ist ein Prozess, bei dem die Gewinnchancen kaum ernsthaft so- wie beträchtlich geringer als die Verlustgefahren sind, so dass eine nicht bedürftige Partei sich vernünftigerweise nicht zu diesem Prozess entschliessen würde (BGE 122 I 267). Ob ein Begehren aussichtslos erscheint, beurteilt sich aufgrund der Verhältnisse im Zeitpunkt des Gesuchs. c) Trotz anwaltlicher Vertretung haben die Pflichtigen ihre behauptete "Pro- zessarmut" im Zeitpunkt der Erhebung von Beschwerde und Rekurs nicht näher sub- stanziiert und nachgewiesen. Auf diesbezügliche Abklärungen kann jedoch deswegen verzichtet werden, weil Beschwerde und Rekurs im Licht der vorstehenden Erwägun- gen offensichtlich aussichtslos sind. Das Gesuch um unentgeltliche Rechtspflege ist daher abzuweisen. 2 DB.2014.81 2 ST.2014.96</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