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DB.2014.45 vom 19. Mai 2014</w:t>
      </w:r>
    </w:p>
    <w:p>
      <w:r>
        <w:t>ZH Steuerrekursgericht, 2014-05-19, DE</w:t>
      </w:r>
    </w:p>
    <w:p>
      <w:r>
        <w:rPr>
          <w:b/>
        </w:rPr>
        <w:t xml:space="preserve">Quelle: </w:t>
      </w:r>
      <w:r>
        <w:t>https://mcp.opencaselaw.ch/entscheid/zh_steuerrekursgericht_DB.2014.45</w:t>
      </w:r>
    </w:p>
    <w:p>
      <w:r>
        <w:t>FR: ZH_STEUERREKURSGERICHT DB.2014.45 du 19 mai 2014</w:t>
      </w:r>
    </w:p>
    <w:p>
      <w:r>
        <w:t>IT: ZH_STEUERREKURSGERICHT DB.2014.45 del 19 maggio 2014</w:t>
      </w:r>
    </w:p>
    <w:p>
      <w:pPr>
        <w:pStyle w:val="Heading2"/>
      </w:pPr>
      <w:r>
        <w:t>Regeste</w:t>
      </w:r>
    </w:p>
    <w:p>
      <w:r>
        <w:t>Anwaltskosten im Zusammenhang mit einem Strafuntersuchung wegen diverser Vorsatzdelikte stellen bei einem Selbstständigerwerbenden keinen geschäftsmässigen Aufwand dar. Hingegen ist die Rückstellung auf beschlagnahmten geschäftlichen Bankguthaben gerechtfertigt, da zum gegenwärtigen Zeitpunkt über die definitive Einziehung noch kein Entscheid vorliegt.</w:t>
      </w:r>
    </w:p>
    <w:p>
      <w:pPr>
        <w:pStyle w:val="Heading2"/>
      </w:pPr>
      <w:r>
        <w:t>Erwägungen</w:t>
      </w:r>
    </w:p>
    <w:p>
      <w:r>
        <w:rPr>
          <w:b/>
        </w:rPr>
        <w:t>E. 1</w:t>
      </w:r>
    </w:p>
    <w:p>
      <w:r>
        <w:t>A,</w:t>
      </w:r>
    </w:p>
    <w:p>
      <w:r>
        <w:rPr>
          <w:b/>
        </w:rPr>
        <w:t>E. 2</w:t>
      </w:r>
    </w:p>
    <w:p>
      <w:r>
        <w:t>Streitig ist ferner eine Rückstellung I von Fr. 77'482.33, welche die Pflichti- gen 2004 auf einem Guthaben auf dem Konto Nr. … bei der Privatbank I AG in J mit einem Saldo von Fr. 1'482.- und auf einer Terminanlage von Fr. 76'000.- bei derselben Bank gebildet haben. Beide Positionen sind unter den Geschäftsaktiven aufgeführt. Die Pflichtigen beriefen sich ursprünglich auf eine Beschlagnahmeverfügung der Bundes- anwaltschaft vom … … 2004. Darin hat die Bundesanwaltschaft alle Guthaben der Beschuldigten, auch des Pflichtigen, bei der Privatbank I AG in J beschlagnahmt, dar- unter auch das Konto Nr. … (Ziff. 1.a der Verfügung). In der Beschwerde bzw. dem Rekurs verweisen die Pflichtigen zur Begründung auf zu erwartende hohe Schadener- satzansprüche von ehemaligen Kunden. a) Gemäss Art. 29 Abs. 1 DBG können gewinnmindernde Rückstellungen ge- macht werden für im Geschäftsjahr bestehende Verpflichtungen, deren Höhe noch unbestimmt ist (lit. a), für Verlustrisiken, die mit Aktiven des Umlaufvermögens verbun- den sind (insbesondere mit Waren und Debitoren; lit. b), für andere unmittelbar dro- hende Verlustrisiken (lit. c) sowie – in gewissem Umfang - für künftige Forschungs- und Entwicklungsaufträge (lit. d). Bisherige Rückstellungen werden dem steuerbaren Ge- schäftsertrag zugerechnet, soweit sie nicht mehr begründet sind (Abs. 2). Das kantona- le Recht enthält mit § 27 Abs. 2 lit. b StG eine ähnliche Bestimmung. 1 DB.2014.45 1 ST.2014.56</w:t>
      </w:r>
    </w:p>
    <w:p>
      <w:r>
        <w:t>- 7 - Nach ständiger Rechtsprechung wird mit der Rückstellung (bzw. vorüberge- henden Wertberichtigung) dem laufenden Geschäftsjahr ein tatsächlich oder mindes- tens wahrscheinlich verursachter, in seiner Höhe aber noch nicht bekannter Aufwand oder Verlust gewinnmindernd angerechnet, der erst im nächsten oder in einem der folgenden Geschäftsjahre geldmässig verwirklicht wird (RB 1975 Nr. 47, RB 1978 Nr. 33, RB 1986 Nr. 40; Richner/Frei/Kaufmann/Meuter, Art. 29 N 2 DBG und § 64 N 116 StG, alle auch zum Folgenden). Steuerlich (nicht handelsrechtlich) können sol- che Wertberichtigungen nur anerkannt werden, wenn die Ereignisse, die Ursache des geltend gemachten, betragsmässig noch ungewissen Aufwands sind, im laufenden Geschäftsjahr eingetreten sind. Die Rückstellung bzw. vorübergehende Wertberichti- gung darf den Betrag nicht übersteigen, mit dessen Beanspruchung nach den Umstän- den und nach pflichtgemässer Schätzung dereinst ernsthaft gerechnet werden muss. Geschäftsmässig begründet sind deshalb immer nur solche Rückstellungen bzw. vor- übergehende Wertberichtigungen, die der Sicherung unmittelbar drohender und nicht bloss künftiger Risiken dienen (RB 1986 Nr. 40 mit Hinweis auf BGE 103 Ib 370, 75 I 259). Betriebswirtschaftlich oder handelsrechtlich gebotene Rücklagen zur Absi- cherung künftiger Geschäftsrisiken oder geplanter Investitionen sind nicht mit den steuerlich als geschäftsmässig anzuerkennenden Korrekturbuchungen gleichzusetzen. Für die Beurteilung, ob eine verbuchte Rückstellung bzw. Wertberichtigung im Einzelfall geschäftsmässig begründet ist, sind grundsätzlich die Verhältnisse am Bi- lanzstichtag massgebend (Art. 958 Abs. 1 i.V.m. Art. 960 Abs. 2 OR, in der bis am 31. Dezember 2012 geltenden Fassung). Indessen können alle bis zum Zeitpunkt der Bilanzerrichtung erhaltenen Informationen in der Jahresrechnung verwendet werden, sofern dadurch Verhältnisse des Bilanzstichtags offenkundig werden (Karl Käfer, in: Berner Kommentar, 1981, Art. 960 N 332; RB 1986 Nr. 41). Im Gegensatz zu Ab- schreibungen sind Rückstellungen bzw. vorübergehende Wertberichtigungen nicht definitiv, sondern provisorisch. Die Einschätzungsbehörden können daher deren ge- schäftsmässige Begründetheit auch nach ihrer Bildung im Rahmen von späteren Ein- schätzungen erneut überprüfen. In der Praxis wird die steuerliche Auflösung in jener Steuerperiode vorgenommen, in der die Unbegründetheit von der Steuerbehörde fest- gestellt wird (Richner/Frei/Kaufmann/Meuter, Art. 29 N 22 DBG und § 64 N 132 StG, je mit Hinweisen). 1 DB.2014.45 1 ST.2014.56</w:t>
      </w:r>
    </w:p>
    <w:p>
      <w:r>
        <w:t>- 8 - Tatsachen, die Rückstellungen bzw. Wertberichtigungen als geschäftsmässig begründet erscheinen lassen, sind steuermindernd und deshalb vom Steuerpflichtigen nachzuweisen (RB 1975 Nr. 55). Um die Beurteilung der geschäftsmässigen Begrün- detheit zu ermöglichen, ist der Steuerpflichtige gehalten, an der Abklärung der solchen Aufwendungen zu Grunde liegenden Tatsachen mitzuwirken, wobei er für deren Ver- wirklichung beweisbelastet ist (vgl. RB 1987 Nr. 35). b) Die Beschlagnahmeverfügung stützte sich auf Art. 65 und 69 bis 71 der damals noch in Kraft stehenden Bundesgesetzes über die Bundesstrafrechtspflege vom 15. Juni 1934 (aufgehoben durch die Schweizerische Strafprozessordnung vom</w:t>
      </w:r>
    </w:p>
    <w:p>
      <w:r>
        <w:rPr>
          <w:b/>
        </w:rPr>
        <w:t>E. 5</w:t>
      </w:r>
    </w:p>
    <w:p>
      <w:r>
        <w:t>Oktober 2007, in Kraft seit 1. Januar 2011, StPO). Nach dem neuen Art. 263 Abs. 1 lit. a bis c StPO können Gegenstände und Vermögenswerte einer beschuldigten Per- son oder einer Drittperson beschlagnahmt werden, wenn sie voraussichtlich als Be- weismittel, zur Sicherstellung von Verfahrenskosten, Geldstrafen, Bussen und Ent- schädigungen gebraucht werden, den Geschädigten zurückzugeben oder einzuziehen sind. Weiter kann gemäss Art. 268 StPO vom Vermögen der beschuldigten Person so viel beschlagnahmt werden, als voraussichtlich nötig ist zur Deckung der Verfahrens- kosten und Entschädigungen bzw. der Geldstrafen und Bussen. Handelsrechtlich ist ein beschlagnahmtes Bankguthaben schon allein auf- grund dieser Massnahme als verlustgefährdet zu betrachten. Damit erfolgte die 2004 erfolgte Bildung der Rückstellung im Umfang der beschlagnahmten Werte zu Recht. Gemäss einem Rundschreiben der Bundesanwaltschaft vom März 2013 ist die Strafun- tersuchung gegen den Pflichtigen weiterhin im Gang; der Entscheid steht damit noch aus. Der ungewisse Zustand dauert somit weiter an, sodass sich per Ende 2008 (Bi- lanzstichtag) an der rechtlichen Beurteilung nichts geändert hat. Damit war aber die Rückstellung weiterhin geschäftsmässig begründet und erfolgte die Aufrechnung zu Unrecht. Was das kantonale Steueramt dagegen vorbringt, vermag nicht zu überzeu- gen. Der Umstand, dass bisher keine Schadenersatzforderungen gegen den Pflichti- gen gestellt wurden, macht die Rückstellung nicht hinfällig; vielmehr reicht die Be- schlagnahme allein bereits aus, um handelsrechtlich eine Gefährdung zu begründen. Ob der Pflichtige mit Schadenersatzklagen seiner ehemaligen Kunden zu rechnen hat, spielt dabei keine Rolle. 1 DB.2014.45 1 ST.2014.56</w:t>
      </w:r>
    </w:p>
    <w:p>
      <w:r>
        <w:t>- 9 - Das kantonale Steueramt macht auch hier geltend, dass das dem Pflichtigen zur Last gelegte deliktische Verhalten den Rahmen dessen sprengt, was noch als mit der Geschäftstätigkeit verbundenes übliches Risiko bezeichnet werden kann. Dem ist entgegen zu halten, dass weder Ende 2008 noch zum gegenwärtigen Zeitpunkt be- kannt war bzw. ist, ob und aus welchem Grund die beschlagnahmten Guthaben einst definitiv eingezogen werden. Je nach dem Einziehungsgrund stellt sich die Frage des deliktischen Hintergrunds in unterschiedlicher Schärfe. Die Zuordnung der beschlag- nahmten Aktiven zum Geschäftsvermögen zieht das kantonale Steueramt überdies nicht in Zweifel. Lässt sich demnach zum gegenwärtigen Zeitpunkt noch keine klare Aussage über den deliktischen Hintergrund machen, spricht dies dafür, die Rückstel- lung einstweilen bestehen zu lassen und erst bei Vorliegen eines rechtskräftigen Straf- urteils eine abschliessende steuerliche Beurteilung vorzunehmen. 3. Gestützt auf diese Erwägungen sind der Rekurs bzw. die Beschwerde teil- weise gutzuheissen. Ausgangsgemäss sind die Kosten des Verfahrens den Parteien anteilsmässig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