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DB.2014.121 vom 7. April 2014</w:t>
      </w:r>
    </w:p>
    <w:p>
      <w:r>
        <w:t>ZH Steuerrekursgericht, 2014-04-07, DE</w:t>
      </w:r>
    </w:p>
    <w:p>
      <w:r>
        <w:rPr>
          <w:b/>
        </w:rPr>
        <w:t xml:space="preserve">Quelle: </w:t>
      </w:r>
      <w:r>
        <w:t>https://mcp.opencaselaw.ch/entscheid/zh_steuerrekursgericht_DB.2014.121</w:t>
      </w:r>
    </w:p>
    <w:p>
      <w:r>
        <w:t>FR: ZH_STEUERREKURSGERICHT DB.2014.121 du 7 avril 2014</w:t>
      </w:r>
    </w:p>
    <w:p>
      <w:r>
        <w:t>IT: ZH_STEUERREKURSGERICHT DB.2014.121 del 7 aprile 2014</w:t>
      </w:r>
    </w:p>
    <w:p>
      <w:pPr>
        <w:pStyle w:val="Heading2"/>
      </w:pPr>
      <w:r>
        <w:t>Regeste</w:t>
      </w:r>
    </w:p>
    <w:p>
      <w:r>
        <w:t>Liegenschaftenunterhalt. Einlagen in den Reparatur- und Erneuerungsfonds einer Stockwerkeigentümergemeinschaft sind im Zeitpunkt der Zahlung und nicht im Zeitpunkt der späteren Mittelverwendung abzugsfähig (Bestätigung der Rechtsprechung).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Wie in E. 1 festgehalten, darf sich das Steuerrekursgericht nicht zu der aus- serhalb des Streitgegenstands liegenden Frage äussern, ob auf die – offenbar rechts- kräftigen – Veranlagungen für die Steuerperioden 2008 - 2011 zurückgekommen wer- den könne. Ein solches Begehren hätten die Pflichtigen an das kantonale Steueramt zu richten. 2 DB.2014.121 2 ST.2014.145</w:t>
      </w:r>
    </w:p>
    <w:p>
      <w:r>
        <w:t>- 7 -</w:t>
      </w:r>
    </w:p>
    <w:p>
      <w:r>
        <w:rPr>
          <w:b/>
        </w:rPr>
        <w:t>E. 5</w:t>
      </w:r>
    </w:p>
    <w:p>
      <w:r>
        <w:t>Bei diesem Prozessausgang sind die Verfahrenskosten den Pflichtigen auf- zuerlegen (Art. 144 Abs. 1 DBG, § 151 Abs. 1 StG).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