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DB.2014.12 vom 29. Januar 2015</w:t>
      </w:r>
    </w:p>
    <w:p>
      <w:r>
        <w:t>ZH Steuerrekursgericht, 2015-01-29, DE</w:t>
      </w:r>
    </w:p>
    <w:p>
      <w:r>
        <w:rPr>
          <w:b/>
        </w:rPr>
        <w:t xml:space="preserve">Quelle: </w:t>
      </w:r>
      <w:r>
        <w:t>https://mcp.opencaselaw.ch/entscheid/zh_steuerrekursgericht_DB.2014.12</w:t>
      </w:r>
    </w:p>
    <w:p>
      <w:r>
        <w:t>FR: ZH_STEUERREKURSGERICHT DB.2014.12 du 29 janvier 2015</w:t>
      </w:r>
    </w:p>
    <w:p>
      <w:r>
        <w:t>IT: ZH_STEUERREKURSGERICHT DB.2014.12 del 29 gennaio 2015</w:t>
      </w:r>
    </w:p>
    <w:p>
      <w:pPr>
        <w:pStyle w:val="Heading2"/>
      </w:pPr>
      <w:r>
        <w:t>Regeste</w:t>
      </w:r>
    </w:p>
    <w:p>
      <w:r>
        <w:t>Einsprache bei fehlender Beschwer. Der Pflichtige wandte sich in seinen Einsprachen gegen den Hinweis in der steuerbehördlichen Entscheidbegründung, wonach seine Liegenschaft dem Geschäftsvermögen angehöre. Indes hatte dieser Hinweis keinerlei Auswirkungen auf die Steuerfaktoren bzw. das Dispositiv der angefochtenen Veranlagungen. Zurecht ist damit die Einsrpachebehörde wegen Fehlens eines Rechtsschutzinteressens insoweit auf die Einsprachen nicht eingetreten (Abweisung).</w:t>
      </w:r>
    </w:p>
    <w:p>
      <w:pPr>
        <w:pStyle w:val="Heading2"/>
      </w:pPr>
      <w:r>
        <w:t>Erwägungen</w:t>
      </w:r>
    </w:p>
    <w:p>
      <w:r>
        <w:rPr>
          <w:b/>
        </w:rPr>
        <w:t>E. 1</w:t>
      </w:r>
    </w:p>
    <w:p>
      <w:r>
        <w:t>Schweizerische Eidgenossenschaft, Beschwerdegegnerin,</w:t>
      </w:r>
    </w:p>
    <w:p>
      <w:r>
        <w:rPr>
          <w:b/>
        </w:rPr>
        <w:t>E. 2</w:t>
      </w:r>
    </w:p>
    <w:p>
      <w:r>
        <w:t>Voraussetzung zur Einsprache-, Rekurs und Beschwerdeerhebung in Steu- ersachen ist ein rechtliches Interesse (RB 2001 Nr. 106, auch zum Folgenden; RB 1996 Nr. 44, RB 1980 Nr. 86). Fehlt es an einem schutzwürdigen Anfechtungsinte- resse, so ist auf das Rechtsmittel nicht einzutreten. Mithin ist zur Einsprache nur be- rechtigt, wer durch einen mit diesem Rechtsmittel anfechtbaren Entscheid beschwert ist, d.h. in seinen Rechten betroffen wird. Dabei kommt es allein auf die Auswirkungen des Entscheiddispositivs an. Allein dieses enthält nämlich den rechtsverbindlichen und der Rechtskraft teilhaftigen materiellen Entscheid, nicht die hierzu gegebene Begrün- dung (RB 1996 Nr. 44, RB 1960 Nr. 33). Davon ausgenommen sind Rückweisungsent- scheide, welche naturgemäss in der Begründung Anweisungen an die Vorinstanz ent- halten, die kraft der Beifügung "im Sinn der Erwägungen" im Dispositiv an der Rechtskraft teilhaben und somit von der Vorinstanz zu befolgen sind (RB 1968 Nr. 6). Aus diesem Grund können Entscheide nach ständiger Rechtsprechung nur bezüglich ihres Dispositivs (einschliesslich der Kosten- und Entschädigungsregelung) angefoch- ten werden. Die Motive des Entscheids können nicht selbstständig als falsch gerügt werden, sondern lediglich in Verbindung mit einem Begehren auf Änderung des Dispo- sitivs (RB 1996 Nr. 44, Richner/Frei/Kaufmann/Meuter, Art. 132 N 36 f. DBG und § 140 N 12 ff. StG). 1 DB.2014.12 1 ST.2014.17</w:t>
      </w:r>
    </w:p>
    <w:p>
      <w:r>
        <w:t>- 7 -</w:t>
      </w:r>
    </w:p>
    <w:p>
      <w:r>
        <w:rPr>
          <w:b/>
        </w:rPr>
        <w:t>E. 3</w:t>
      </w:r>
    </w:p>
    <w:p>
      <w:r>
        <w:t>a) In den Begründungen zu den Einschätzungsentscheiden vom 24. Mai 2013 betreffend die Staats- und Gemeindesteuern 2009 und 2010 wies die Steuer- kommissärin u.a. darauf hin, dass die Liegenschaft in der Gemeinde D überwiegend geschäftlich genutzt werde; der deklarierte Steuerwert von Fr. 1'070'000.- stelle des- halb Geschäftsvermögen dar und die mit der Liegenschaft erzielten (Netto-)Einnahmen qualifizierten als Einkommen aus selbstständiger Erwerbstätigkeit. In den Veranla- gungsverfügungen gleichen Datums betreffend die direkte Bundessteuer 2000 und 2010 verwies sie auf die Begründungen der parallelen Einschätzungsentscheide. b) Der Pflichtige liess in seinen Einsprachen gegen die vorgenannten Veran- lagungen bzw. Einschätzungen beantragen, "die Liegenschaft in der Gemeinde D, so- wie deren Erträge seien wie bis anhin als Privatvermögen zu qualifizieren". Zur Be- gründung wurde angeführt, es sei nicht nachvollziehbar, "weshalb nach 17 Jahren Präponderanzmethode und kurz vor dem Rückzug des Pflichtigen aus dem Geschäfts- leben nun die Einschätzung der Liegenschaft geändert werden sollte". Zudem sei wi- dersprüchlich, dass zwar die Qualifikation der Liegenschaft geändert, die damit ver- bundenen Schulden und Schuldzinsen aber weiterhin als private Schulden betrachtet würden, womit das Einkommen aus selbstständiger Erwerbstätigkeit künstlich hochge- trieben werde. Die Liegenschaft sei deshalb im Privatvermögen zu belassen wie auch die damit verbundenen Schuldzinsen. c) Die Einsprachebehörde trat hierauf nicht ein mit der Begründung, dass die Qualifikation der Liegenschaft als "vorwiegend geschäftlich genutzte Liegenschaft" nicht Gegenstand des Dispositivs sei. Letzteres ist zutreffend: Die liegenschaftenbezogenen Hinweise der Steuer- kommissärin (vgl. vorstehend lit. a) wirkten sich auf das Dispositiv der Veranlagungs- verfügungen bzw. Einschätzungsentscheide nicht aus. Dies erklärt sich damit, dass es in Bezug auf das steuerbare Einkommen einerlei ist, unter welchem Titel die mit der Liegenschaft erzielten Erträge (vermindert um die Unterhaltskosten) letztendlich zu versteuern sind. Gehört die Liegenschaft ins Privatvermögen, liegt – wie deklariert – gewöhnlicher Liegenschaftenertrag vor; gehört sie ins Geschäftsvermögen, ist im ent- sprechenden Umfang von Einkommen aus selbstständiger Erwerbstätigkeit auszuge- hen. Auch die liegenschaftenbezogenen Schuldzinsen sind in einem wie im andern Fall abziehbar. Gleiches gilt sodann auch in Bezug auf das steuerbare Vermögen. Diesbe- züglich ist bei Mehrfamilien- und Geschäftshäusern für die Vermögenssteuer vom Er- 1 DB.2014.12 1 ST.2014.17</w:t>
      </w:r>
    </w:p>
    <w:p>
      <w:r>
        <w:t>- 8 - tragswert auszugehen; ermittelt wird dieser Ertragswert, indem der erzielte Ertrag kapi- talisiert wird, wobei der Kapitalisierungsfaktor 7.05% beträgt (vgl. Weisung des Regie- rungsrats an die Steuerbehörden vom 12. August 2009 über die Bewertung von Lie- genschaften und die Festsetzung der Eigenmietwerte ab Steuerperiode 2009: Ziff. 36 ff.; ZStB I Nr. 15/502). Für die streitbetroffene Liegenschaft führt diese Formelbewer- tung zu einem Vermögenssteuerwert von Fr. 1'070'000.- (vgl. Neubewertung 2009, T-act. 4/7). Den Letzteren hat der Pflichtige denn auch deklariert und die Steuerkom- missärin hat daran nichts geändert. Der Hinweis der Steuerkommissärin auf die Zugehörigkeit der Liegenschaft zum Geschäftsvermögen hatte damit weder einkommens- noch vermögensseitige Kor- rekturen zur Folge. Demzufolge vermochten die Dispositive der Veranlagungsverfü- gungen bzw. Einschätzungsentscheide auch nichts über die Zuordnung der Liegen- schaft zum Privat- oder Geschäftsvermögen auszusagen. Damit steht aber fest, dass der Pflichtige in Bezug auf blosse steuerbehördliche Hinweise betreffend die Zuord- nung seiner Liegenschaft zum Privat- oder Geschäftsvermögen gar nicht beschwert sein konnte bzw. ihm in diesem Zusammenhang ein Rechtsschutzinteresse an der Anfechtung der Veranlagungen bzw. Einschätzungen fehlte. Zurecht ist damit die Ein- sprachebehörde insoweit auf die Einsprachen nicht eingetreten. d) Soweit der Pflichtige zur Untermauerung eines Rechtsschutzinteresse replicando nachschieben lässt, dass die Festsetzung des Einkommens aus selbststän- diger Erwerbstätigkeit für die Festsetzung der AHV-Beiträge relevant sei, hilft ihm dies nicht weiter. Wie erwähnt liess zunächst das angefochtene Dispositiv nicht auf die Hö- he des Einkommens aus selbstständiger Erwerbstätigkeit und damit auch nicht auf die Höhe der damit verbundenen Sozialversicherungsbeiträge schliessen. Im Übrigen vermögen Feststellungen der Steuerbehörde betreffend Höhe des Einkommens aus selbstständiger Erwerbstätigkeit die Höhe der damit einhergehenden Sozialversiche- rungsbeiträge aber ohnehin nicht zu präjudizieren; ein Streit im letzteren Bereich wäre mithin im Rahmen der in der AHV-Gesetzgebung vorgegeben Verfahren auszutragen und kann nicht ins Steuerverfahren verlagert werden (BGE 98 V 186 S. 189). e) In Abkehr zu seinen Einsprachen, mit welchen der Pflichtige die Zugehörig- keit seiner Liegenschaft zum Privatvermögen verfechten liess, lässt er beschwerde- und rekursweise nun geltend machen, die Umwidmung seiner Liegenschaft ins Ge- schäftsvermögen per 2009 müsse zur Folge haben, dass diese vermögensseitig mit 1 DB.2014.12 1 ST.2014.17</w:t>
      </w:r>
    </w:p>
    <w:p>
      <w:r>
        <w:t>- 9 - dem (per Gutachten zu bestimmenden) Verkehrswert zu aktivieren sei. In der Replik lässt er diesen Antrag und das dahinter stehende Rechtschutzinteresse damit unter- mauern, nicht riskieren zu wollen, bei einer späteren Privatentnahme auf einem fiktiven Gewinn Steuer bezahlen zu müssen. Darauf ist indes nicht einzutreten. Im vorliegenden Verfahren war – wie ein- gangs erwähnt – allein darüber zu befinden, ob die Vorinstanz auf die liegenschaften- bezogenen Einspracheanträge zu Recht nicht eingetreten ist. Nachdem dies zutrifft, kann der Pflichtige die liegenschaftenbezogene Thematik im Beschwerde- und Re- kursverfahren materiell nicht mehr öffnen, indem er neue rechtliche Betrachtungswei- sen einbringt und damit einhergehend nunmehr andere Steuerfolgen bzw. eine vermö- gensseitige Höhertaxation verficht. Im Übrigen trifft es gar nicht zu, dass eine Umwidmung per 2009 stattgefunden hat; die Steuerbehörde geht vielmehr davon aus, dass die Liegenschaft schon länger dem Geschäftsvermögen angehört hat (vgl. etwa Bericht zur steueramtlichen Buchprüfung, S. 4; T-act. 9). Wenn dereinst tatsächlich eine Überführung der Liegenschaft ins Privatvermögen stattfinden würde, wäre dann- zumal über die mit der Privatentnahme verbundenen Steuerfolgen zu befinden und gegebenenfalls ein Gutachten zur Frage des Verkehrswert der Liegenschaft im noch zu eruierenden Jahr der Einbringung ins Geschäftsvermögen einzuholen. f) Bemerkungsweise ist darauf hinzuweisen, dass in den Einspracheentschei- den betreffend die Staats- und Gemeindesteuern die Erträge aus qualifizierter Beteili- gung irrtümlich nicht aufgeführt worden sind, was steuerbehördlich zu berichtigen ist.</w:t>
      </w:r>
    </w:p>
    <w:p>
      <w:r>
        <w:rPr>
          <w:b/>
        </w:rPr>
        <w:t>E. 4</w:t>
      </w:r>
    </w:p>
    <w:p>
      <w:r>
        <w:t>a) Diese Erwägungen führen zur Abweisung der Rechtsmittel, soweit darauf einzutreten ist. Ausgangsgemäss sind die Kosten des Verfahrens dem Pflichtigen aufzuerlegen (Art. 144 Abs. 1 DBG bzw. § 151 Abs. 1 StG) und ist ihm keine Parteient- schädigung zuzusprechen (Art. 144 Abs. 4 DBG i.V.m. Art. 64 Abs. 1 - 3 des Bundesgesetzes über das Verwaltungsverfahren vom 20. Dezember 1968 sowie § 152 StG i.V.m. § 17 Abs. 2 des Verwaltungsrechtspflegegesetzes vom 24. Mai 1959/</w:t>
      </w:r>
    </w:p>
    <w:p>
      <w:r>
        <w:rPr>
          <w:b/>
        </w:rPr>
        <w:t>E. 8</w:t>
      </w:r>
    </w:p>
    <w:p>
      <w:r>
        <w:t>Juni 1997). b) Zu Recht sind dem Pflichtigen im Bereich der Staats- und Gemeindesteu- ern sodann auch Einsprachekosten auferlegt worden, da er die diesbezüglichen Ein- spracheverfahren (betreffend Reisespesen) durch schuldhafte Verletzung von Verfah- 1 DB.2014.12 1 ST.2014.17</w:t>
      </w:r>
    </w:p>
    <w:p>
      <w:r>
        <w:t>- 10 - renspflichten veranlasst hatte (§ 142 Abs. 2 Satz 2 StG i.V.m. § 18 der Verordnung zum Steuergesetz vom 1. April 1998, VO StG). Die Kostenfestsetzung ist mit je Fr. 150.- auch in betraglicher Hinsicht nicht zu beanstanden (Ziff. 2.1. des Protokolls der Sitzung vom 18. Januar 2007 der Fachkommission Steuerrecht des kantonalen Steueramts i.V.m. § 21 Abs. 2 VO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