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DB.2013.223 vom 25. April 2014</w:t>
      </w:r>
    </w:p>
    <w:p>
      <w:r>
        <w:t>ZH Steuerrekursgericht, 2014-04-25, DE</w:t>
      </w:r>
    </w:p>
    <w:p>
      <w:r>
        <w:rPr>
          <w:b/>
        </w:rPr>
        <w:t xml:space="preserve">Quelle: </w:t>
      </w:r>
      <w:r>
        <w:t>https://mcp.opencaselaw.ch/entscheid/zh_steuerrekursgericht_DB.2013.223</w:t>
      </w:r>
    </w:p>
    <w:p>
      <w:r>
        <w:t>FR: ZH_STEUERREKURSGERICHT DB.2013.223 du 25 avril 2014</w:t>
      </w:r>
    </w:p>
    <w:p>
      <w:r>
        <w:t>IT: ZH_STEUERREKURSGERICHT DB.2013.223 del 25 aprile 2014</w:t>
      </w:r>
    </w:p>
    <w:p>
      <w:pPr>
        <w:pStyle w:val="Heading2"/>
      </w:pPr>
      <w:r>
        <w:t>Regeste</w:t>
      </w:r>
    </w:p>
    <w:p>
      <w:r>
        <w:t>Privatentnahme von Liegenschaften bei Geschäftsaufgabe. Nachdem der Pflichtige seine Erwerbstätigkeit zum grössten Teil aufgegeben und über seine Geschäftsliegenschaften langjährige Mietverträge abgeschlossen hat, und in der Folge auch gegenüber den Steuerbehörden die Aufgabe der selbstständigen Erwerbstätigkeit zum Ausdruck gebracht hat, ist von einer Privatentnahme mit Bezug auf die Liegenschaften auszugehen. Für den Zeitpunkt der Besteuerung ist die Bekanntgabe gegenüber den Steuerbehörden massgebend.</w:t>
      </w:r>
    </w:p>
    <w:p>
      <w:pPr>
        <w:pStyle w:val="Heading2"/>
      </w:pPr>
      <w:r>
        <w:t>Erwägungen</w:t>
      </w:r>
    </w:p>
    <w:p>
      <w:r>
        <w:rPr>
          <w:b/>
        </w:rPr>
        <w:t>E. 1</w:t>
      </w:r>
    </w:p>
    <w:p>
      <w:r>
        <w:t>A,</w:t>
      </w:r>
    </w:p>
    <w:p>
      <w:r>
        <w:rPr>
          <w:b/>
        </w:rPr>
        <w:t>E. 2</w:t>
      </w:r>
    </w:p>
    <w:p>
      <w:r>
        <w:t>Gestützt auf diese Erwägungen sind die Rechtsmittel abzuweisen. Aus- gangsgemäss sind die Kosten des Verfahrens den Pflichtigen aufzuerlegen (Art. 144 Abs. 1 DBG und § 151 Abs. 1 StG) und ist ihnen keine Parteientschädigung zuzuspre- chen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