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DB.2013.133 vom 28. Juni 2012</w:t>
      </w:r>
    </w:p>
    <w:p>
      <w:r>
        <w:t>ZH Steuerrekursgericht, 2012-06-28, DE</w:t>
      </w:r>
    </w:p>
    <w:p>
      <w:r>
        <w:rPr>
          <w:b/>
        </w:rPr>
        <w:t xml:space="preserve">Quelle: </w:t>
      </w:r>
      <w:r>
        <w:t>https://mcp.opencaselaw.ch/entscheid/zh_steuerrekursgericht_DB.2013.133</w:t>
      </w:r>
    </w:p>
    <w:p>
      <w:r>
        <w:t>FR: ZH_STEUERREKURSGERICHT DB.2013.133 du 28 juin 2012</w:t>
      </w:r>
    </w:p>
    <w:p>
      <w:r>
        <w:t>IT: ZH_STEUERREKURSGERICHT DB.2013.133 del 28 giugno 2012</w:t>
      </w:r>
    </w:p>
    <w:p>
      <w:pPr>
        <w:pStyle w:val="Heading2"/>
      </w:pPr>
      <w:r>
        <w:t>Regeste</w:t>
      </w:r>
    </w:p>
    <w:p>
      <w:r>
        <w:t>Die externe Mitgliedschaft einer nicht mehr Erwerbstätigen in der bisherigen obligatorischen Vorsorgeeinrichtung ist BVG-konform, und zwar unabhängig von der Dauer des Erwerbsunterbruchs (d.h. auch bei definitver Erwerbsaufgabe). Die Beiträge sind abzugsfähig.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A,</w:t>
      </w:r>
    </w:p>
    <w:p>
      <w:r>
        <w:rPr>
          <w:b/>
        </w:rPr>
        <w:t>E. 2</w:t>
      </w:r>
    </w:p>
    <w:p>
      <w:r>
        <w:t>Diese Erwägungen führen zur Gutheissung von Beschwerde und Rekurs. Ausgangsgemäss sind die Verfahrenskosten der Beschwerdegegnerin bzw. dem Re- kursgegner aufzuerlegen (Art. 144 Abs. 1 DBG, § 151 Abs. 1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