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DB.2013.111 vom 27. September 2013</w:t>
      </w:r>
    </w:p>
    <w:p>
      <w:r>
        <w:t>ZH Steuerrekursgericht, 2013-09-27, DE</w:t>
      </w:r>
    </w:p>
    <w:p>
      <w:r>
        <w:rPr>
          <w:b/>
        </w:rPr>
        <w:t xml:space="preserve">Quelle: </w:t>
      </w:r>
      <w:r>
        <w:t>https://mcp.opencaselaw.ch/entscheid/zh_steuerrekursgericht_DB.2013.111</w:t>
      </w:r>
    </w:p>
    <w:p>
      <w:r>
        <w:t>FR: ZH_STEUERREKURSGERICHT DB.2013.111 du 27 septembre 2013</w:t>
      </w:r>
    </w:p>
    <w:p>
      <w:r>
        <w:t>IT: ZH_STEUERREKURSGERICHT DB.2013.111 del 27 settembre 2013</w:t>
      </w:r>
    </w:p>
    <w:p>
      <w:pPr>
        <w:pStyle w:val="Heading2"/>
      </w:pPr>
      <w:r>
        <w:t>Regeste</w:t>
      </w:r>
    </w:p>
    <w:p>
      <w:r>
        <w:t>Über die steuerliche Behandlung einer Beteiligung an einem australischen Partnership und den Abzug der damit zusammenhängenden Schuldzinsen wurde vorgängig ein Ruling mit der ESTV abgeschlossen. Dieses Ruling ist ungültig, da die ESTV für seinen Abschluss nicht zuständig war. Der Schuldzinsenabzug ist bei materieller Betrachtung nicht gerechtfertigt.</w:t>
      </w:r>
    </w:p>
    <w:p>
      <w:pPr>
        <w:pStyle w:val="Heading2"/>
      </w:pPr>
      <w:r>
        <w:t>Erwägungen</w:t>
      </w:r>
    </w:p>
    <w:p>
      <w:r>
        <w:rPr>
          <w:b/>
        </w:rPr>
        <w:t>E. 1</w:t>
      </w:r>
    </w:p>
    <w:p>
      <w:r>
        <w:t>A,</w:t>
      </w:r>
    </w:p>
    <w:p>
      <w:r>
        <w:rPr>
          <w:b/>
        </w:rPr>
        <w:t>E. 2</w:t>
      </w:r>
    </w:p>
    <w:p>
      <w:r>
        <w:t>B, Beschwerdeführer, vertreten durch C gegen Schweizerische Eidgenossenschaft, Beschwerdegegnerin, vertreten durch das kant. Steueramt, Division Süd, Bändliweg 21, Postfach, 8090 Zürich, betreffend Direkte Bundessteuer 2006 und 2007</w:t>
      </w:r>
    </w:p>
    <w:p>
      <w:r>
        <w:t>- 2 - hat sich ergeben: A. 1. A (nachfolgend der Pflichtige) ist Partner und Aktionär bei der D. In die- ser Eigenschaft war er federführend bei der Einholung von Vorbescheiden bei ver- schiedenen Steuerbehörden bezüglich der künftigen Investition in das Anlagevehikel "E". Dabei handelt es sich um die Beteiligung an einem australischen Limited Part- nership (nachfolgend AusLP). Die D, vertreten u.a. durch den Pflichtigen, gelangte am</w:t>
      </w:r>
    </w:p>
    <w:p>
      <w:r>
        <w:rPr>
          <w:b/>
        </w:rPr>
        <w:t>E. 3</w:t>
      </w:r>
    </w:p>
    <w:p>
      <w:r>
        <w:t>August 2004 namens der D an die ESTV ("Rechtswesen Direkte Bundessteuer") gerichtet und auf diese Steuer beschränkt. Die ESTV hat der Anfrage dann zwar am</w:t>
      </w:r>
    </w:p>
    <w:p>
      <w:r>
        <w:rPr>
          <w:b/>
        </w:rPr>
        <w:t>E. 4</w:t>
      </w:r>
    </w:p>
    <w:p>
      <w:r>
        <w:t>August 2004 unterschriftlich zugestimmt, indem sie sich damit als "Einverstanden !" erklärte. Darauf können sich die Pflichtigen für die Rechtfertigung des streitigen Schuldzinsenabzugs indessen nach dem Gesagten nicht berufen, da die Zustimmung 1 DB.2013.111</w:t>
      </w:r>
    </w:p>
    <w:p>
      <w:r>
        <w:t>- 10 - für das kantonale Steueramt als Veranlagungsbehörde mangels Zuständigkeit der ESTV keine Bindungswirkung zu entfalten vermochte. Die D durfte die ESTV für die rechtsgültige Erteilung der Zustimmung sodann auch nicht aus zureichenden Gründen als zuständig erachten, hätte sie als in Steuerangelegenheiten fachkundige Unterneh- mung doch im Gegenteil um die Zuständigkeit des kantonalen Steueramts für Verhand- lungshandlungen und damit auch für die Einholung von Rulings wissen müssen. (vgl. hierzu ausführlich E. 3.b.dd). Die D hat sodann zwar am 22. Februar 2005 auch beim kantonalen Steueramt um Zustimmung zum Ruling ersucht, die Anfrage jedoch ausdrücklich auf die Zwecke der Zürcher Staats- und Gemeindesteuer bezogen. Mithin kann sich die am 25. Febru- ar 2005 erfolgte Zustimmung des kantonalen Steueramts nur auf diese Steuer bezie- hen, nicht aber auch auf die vorliegend streitbetroffene direkte Bundessteuer. Im Ergebnis liegt damit für die direkte Bundessteuer kein von der zuständigen Steuerbehörde genehmigtes Ruling über die Abzugsfähigkeit der streitigen Schuldzin- sen bei den Anlegern vor. b) Was die Pflichtigen dagegen vorbringen, dringt nicht durch: aa) Das Kantonsgericht Freiburg hat in seinem in Rechtskraft erwachsenen Entscheid vom 27. Mai 2011 in Sachen eines andern steuerpflichtigen Ehepaars mit demselben Anlagevehikel zwar erwogen, es stehe "ausser Diskussion", dass die ESTV zur Abgabe des Steuerrulings vom 4. August 2004 zuständig gewesen sei (E. 2.c.,). Das Gericht hat diese Feststellung jedoch in keiner Art und Weise näher begründet. Sein Entscheid vermag daher insofern nicht zu überzeugen. Im Übrigen sind die Zür- cherischen Rechtsmittelinstanzen – mithin auch das angerufene Steuerrekursgericht – an dieses in einem andern Kanton ergangene Urteil ohnehin nicht gebunden. Die Pflichtigen versuchen sodann aus dem Entscheid des Bundesgerichts vom 5. Oktober 2012 (2C_708/2011) eine Bejahung der streitigen Frage, ob die ESTV für die Erteilung eines Rulings bei der direkten Bundessteuer zuständig sei, herzulei- ten. In jenem Entscheid ging es darum, dass ein Ruling wohl von der kantonalen Steu- erverwaltung für die direkte Bundessteuer genehmigt worden war, jedoch nicht fest- stand, ob hierzu auch noch die ESTV ihre Zustimmung gegeben hatte. Das Bundesgericht wies die Sache zur diesbezüglichen Klärung an die Vorinstanz zurück 1 DB.2013.111</w:t>
      </w:r>
    </w:p>
    <w:p>
      <w:r>
        <w:t>- 11 - und erwog, falls die Zustimmung der ESTV zum Ruling vorliege, entfalte dieses auch einen Vertrauensschutz des Steuerpflichtigen gegenüber der ESTV (E. 4.3.2). Ob und wie der Vertrauensschutz sich auswirkt, wenn dem Ruling – wie hier – allein die ESTV, nicht aber die kantonale Steuerverwaltung für die direkte Bundessteuer zugestimmt hat, musste das Bundesgericht nicht beurteilen und wurde von ihm dementsprechend denn auch gar nicht erörtert. Der zitierte Entscheid des obersten Gerichts vermag da- her vorliegend nichts herzugeben. Mit nachträglicher Eingabe vom 27. August 2013 bringen die Pflichtigen einen weiteren Entscheid des Bundesgerichts vom 10. Dezember 2012 (2C_603/2012 und 2C_604/2012) ins Spiel. Darin erachtet das Bundesgericht die kantonalen Steuerver- waltungen zum Abschluss eines "accord en matière d'IFD (DBG)" zwar nicht als zu- ständig (E. 6.3), jedoch lässt sich dem Entscheid nicht entnehmen, ob mit diesem "accord" ein (regelmässig unzulässiges) Steuerabkommen, d.h. ein verwaltungsrechtli- cher Vertrag, oder tatsächlich ein Ruling im hier verstandenen Sinn gemeint ist. Träfe Letzteres zu, würde das Bundesgericht gegen die verfassungsmässig festgelegte Kompetenzverteilung zwischen Bund und Kanton im Bereich der Veranlagung der di- rekten Bundessteuer verstossen (Oesterhelt, StR 2013, 193). Dem könnte sich das Steuerrekursgericht nicht anschliessen. Ist demnach die streitige Frage der Zuständigkeit für die Erteilung von Rulings bei der direkten Bundessteuer bisher noch von keiner dem Steuerrekursgericht über- geordneten Gerichtsinstanz entschieden worden, vermag die Rechtsprechung diese Frage im vorliegenden Verfahren nicht zu präjudizieren. bb) Zutreffend ist sodann, dass das Steuergesetz des Kantons Zürich gleich wie dasjenige des Bundes keine explizite Regelung für den Erlass von Steuerrulings kennt. Indessen gestehen die Pflichtigen in der Beschwerde selber zu, dass auch ohne gesetzliche Grundlage die Zulässigkeit von Rulings allgemein als anerkannt gilt. Da folgerichtig auch keine gesetzliche Grundlage für die Zuständigkeit zur Beantwortung einer Rulinganfrage besteht, ist diese Zuständigkeit – wie geschehen – zwangsläufig aus den vorhandenen Regeln über Veranlagung und Bezug der direkten Bundessteuer herzuleiten. cc) Die Pflichtigen versuchen die Zuständigkeit der ESTV zum Abschluss ei- nes verbindlichen Rulings sodann damit zu begründen, dass diese als Aufsichtsbehör- 1 DB.2013.111</w:t>
      </w:r>
    </w:p>
    <w:p>
      <w:r>
        <w:t>- 12 - de amte. Indessen stehen der ESTV – wie dargelegt – keine Veranlagungskompeten- zen zu, sodass sie zum Abschluss eines Rulings als vorgezogene Veranlagungs- handlung von vornherein nicht zuständig ist. Mit der Zustimmung zu einer Rulinganfrage gibt die ESTV lediglich (verbindlich) die Meinung als Aufsichtsbehörde kund. Dabei kann sie ihre Auffassung der für die Veranlagung allein zuständigen kan- tonalen Verwaltung für die direkte Bundessteuer nicht aufzwingen, sodass Letztere bei Beurteilung der Rulinganfrage daran nicht gebunden ist und der Steuerpflichtige sich darauf nicht verlassen kann. dd) Schliesslich wenden die Pflichtigen noch ein, dass im Zusammenhang mit Finanzprodukten sowie in Fällen, in denen mehrere Kantone betroffen seien, es gängi- ge Praxis darstelle, die Sachverhalte hinsichtlich der direkten Bundessteuer direkt der ESTV zu unterbreiten. Dadurch, dass die ESTV vorliegend die streitige Rulinganfrage der D entgegen genommen und ohne jeglichen Vorbehalt beantwortet habe, habe die D nach Treu und Glauben davon ausgehen dürfen, dass es sich bei ihr um die zustän- dige Behörde handle. Dies gelte umso mehr, als die ESTV in der Praxis, wenn sie sich für eine Rulinganfrage nicht verantwortlich fühle, diese mit Verweis auf die Zuständig- keit der kantonalen Steuerbehörde stets zurückweise. Dem ist entgegen zu halten, dass die ESTV der Rulinganfrage der D zwar vorbehaltlos zugestimmt hat, dies jedoch nur in ihrer Aufsichtsfunktion und nicht als Veranlagungsbehörde tun konnte. Da der Sachverhalt mehrere Kantone betraf, konnte die ESTV mit ihrer Zustimmung daher höchstens zum Ausdruck bringen, dass sie ihre Haltung hinsichtlich der direkten Bundessteuer in allen Kantonen gleich vertreten wer- de. Dies hätte der D bei Einholung des fraglichen Rulings bei der ESTV auch ohne entsprechenden Hinweis oder Vorbehalt der ESTV bewusst sein müssen, da es sich bei ihr um ein renommiertes Treuhandunternehmen handelt, das sich u.a. für die Steu- erberatung empfiehlt und für die Kundschaft häufig Steuerverfahren führt. Dies gilt um- so mehr, als das erwähnte Merkblatt des kantonalen Steueramts die Begehren um amtliche Auskünfte und Vorbescheide schon in der ursprünglichen Fassung vom</w:t>
      </w:r>
    </w:p>
    <w:p>
      <w:r>
        <w:rPr>
          <w:b/>
        </w:rPr>
        <w:t>E. 8</w:t>
      </w:r>
    </w:p>
    <w:p>
      <w:r>
        <w:t>Mai 1996 nicht auf die Staats- und Gemeindesteuern beschränkte und damit auch für die direkte Bundessteuer zur Verfügung stellte. Das Merkblatt war im (alten) Zür- cher Steuerbuch (I A Nr. 25/65) veröffentlicht und der D somit zugänglich sowie be- kannt. Wenn Letztere das Ruling hinsichtlich der direkten Bundessteuer daher nur mit der ESTV und nicht auch mit dem zuständigen kantonalen Steueramt abgeschlossen hat, kann sie sich nicht auf Treu und Glauben bzw. die Bindungswirkung des Rulings 1 DB.2013.111</w:t>
      </w:r>
    </w:p>
    <w:p>
      <w:r>
        <w:t>- 13 - auch gegenüber diesem Amt berufen, da sie die ESTV für den Abschluss des Rulings nicht als zuständig erachten durfte. ee) Im Übrigen sticht auch der Einwand der Pflichtigen nicht, dass bei einer Unzuständigkeit der ESTV für den Abschluss eines Rulings mit allen 26 Kantonen in Kontakt getreten werden müsste, um denselben Effekt wie bei einem gültigen Ruling mit der ESTV allein zu erreichen. Denn für die Belange der Staats- und Gemeinde- steuern ist diese Kontaktaufnahme ohnehin erforderlich, sodass für den Steuerpflichti- gen hinsichtlich der direkten Bundessteuer entgegen der Auffassung der Pflichtigen kein ins Gewicht fallender Mehraufwand an Zeit und Kosten entsteht. c) Demnach hat das fragliche Ruling für die direkte Bundessteuer mangels Zuständigkeit der angerufenen ESTV keinen Bestand. Damit können sich die Pflichti- gen für den streitigen Schuldzinsenabzug nicht darauf berufen und ist dieser vielmehr in materieller Hinsicht zu überprüfen. d) Anzumerken bleibt, dass vom Steuerrekursgericht noch der Fall eines an- dern Steuerpflichtigen mit der vorliegend nicht streitigen Frage zu entscheiden ist, ob sich das Ruling mit der ESTV für die direkte Bundessteuer und dem kantonalen Steu- eramt für die Staats- und Gemeindesteuern ab der Steuerperiode 2007 deshalb als ungültig erweist, weil die gesetzliche Grundlage des Rulings ab 1. Januar 2007 geän- dert habe (1 DB.2013.124 und 1 ST.2013.128). Sofern diese Frage zu bejahen ist, könnten sich die Pflichtigen zumindest für die Steuerperiode 2007 dann auch noch aus diesem Grund auf das Ruling mit der ESTV nicht abstützen. 4. a) Die Abzugsfähigkeit der im Zusammenhang mit der Beteiligung an dem AusLP von den Pflichtigen geleisteten Schuldzinsen ist von der Vorinstanz unter Hin- weis auf den Entscheid des Bundesgerichts vom 26. Oktober 2012 (2C_565/2011) verneint worden. Bei diesem Entscheid ging es ebenfalls um den Abzug von Schuld- zinsen in der Steuerperiode 2006, die von andern Steuerpflichtigen im Zusammenhang mit der Beteiligung an einem gleichen australischen Limited Partnership bezahlt wor- den waren. Die Abzugsfähigkeit war indessen nur für die Staats- und Gemeindesteuern (2006) des Kantons Freiburg zu beurteilen. 1 DB.2013.111</w:t>
      </w:r>
    </w:p>
    <w:p>
      <w:r>
        <w:t>- 14 - Die Pflichtigen äussern sich zu ihrem Schuldzinsenabzug materiell nicht, wes- halb dessen Aufrechnung durch die Vorinstanz insofern nicht streitig ist. Die diesbe- züglich trotzdem anzustellenden materiellen Erwägungen (vgl. Art. 143 Abs. 1 DBG) können daher kurz ausfallen: b) Das Bundesgericht hatte über die Abzugsfähigkeit bei den freiburgischen Staats- und Gemeindesteuern in Anwendung von Art. 34 Abs. 1 lit. a des Gesetzes über die direkten Kantonssteuern vom 6. Juni 2000 zu befinden. Danach können von den Einkünften die privaten Schuldzinsen im Umfang der steuerbaren Vermögenser- träge und weiterer Fr. 50'000.- abgezogen werden (Satz 1). Nicht abzugsfähig sind Schuldzinsen für Darlehen, die eine Kapitalgesellschaft einer an ihrem Kapital mass- geblich beteiligten oder ihr sonst wie nahestehenden natürlichen Person zu Bedingun- gen gewährt, die erheblich von den im Geschäftsverkehr unter Dritten üblichen Bedin- gungen abweichen (Satz 2). Derselbe Satz 2 ist mit dem genau gleichen Wortlaut auch in Art. 33 Abs. 1 lit. a DBG enthalten, weshalb das Bundesgericht für die Auslegung der kanto- nalrechtlichen Bestimmung auf die Lehrmeinungen zur DBG-Vorschrift abstellte. Mithin ist der genannte Entscheid des obersten Gerichts im vorliegenden Verfahren, bei dem es um die Anwendung von Art. 33 Abs. 1 lit. a DBG geht, wegleitend. c) Das Bundesgericht kam zum Schluss, dass sich Wortlaut und Inhalt dieser Bestimmung auf die allgemeine Praxis zu geldwerten Leistungen und auf den dafür massgeblichen Drittvergleich beziehe. Diesbezüglich beruhten die geltend gemachten Schuldzinsen auf Darlehen, deren Ausgestaltung erheblich von den sonst im Ge- schäftsverkehr unter Dritten üblichen Bedingungen abwichen. Es erwog, die privaten Investoren des streitigen Anlagevehikels würden in ein von Wertschriftenhändlern ent- wickeltes Modell gewerbsmässiger Anlage mit einbezogen, und zwar so, dass dieses Modell ganz gezielt die in der Schweiz für den Privatvermögensbereich gesetzlich vor- gesehenen Steuervorteile – steuerfreier Kapitalgewinn und Schuldzinsenabzug – ku- mulativ und bis zur äussersten Grenze ausnütze. Zudem müsse bei den Parteien des Darlehensvertrags aus näher dargelegten Gründen von nahestehenden Personen ausgegangen werden. Damit seien die Schuldzinsen gemäss Art. 34 Abs. 1 lit. a des freiburgischen Steuergesetzes nicht abzugsfähig. 1 DB.2013.111</w:t>
      </w:r>
    </w:p>
    <w:p>
      <w:r>
        <w:t>- 15 - d) Die Erwägungen des Bundesgerichts überzeugen vollumfänglich, sodass sie auch für die Anwendung des gleichlautenden Art. 33 Abs. 1 lit. a DBG Geltung ha- ben. Demnach ist der von den Pflichtigen nachgesuchte Schuldzinsenabzug von ins- gesamt Fr. 29'905.- (Steuerperiode 2006) bzw. Fr. 52'051.- (Steuerperiode 2007) von der Vorinstanz auch bei der direkten Bundessteuer zu Recht aufgerechnet worden. 5. Diese Erwägungen führen zur Abweisung der Beschwerde. Ausgangsge- mäss sind die Kosten des Verfahrens den unterliegenden Pflichtigen aufzuerlegen (Art. 144 Abs. 1 DBG) und bleibt ihnen die Zusprechung einer Parteientschädigung verwehrt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