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DB.2012.95 vom 15. Oktober 1996</w:t>
      </w:r>
    </w:p>
    <w:p>
      <w:r>
        <w:t>ZH Steuerrekursgericht, 1996-10-15, DE</w:t>
      </w:r>
    </w:p>
    <w:p>
      <w:r>
        <w:rPr>
          <w:b/>
        </w:rPr>
        <w:t xml:space="preserve">Quelle: </w:t>
      </w:r>
      <w:r>
        <w:t>https://mcp.opencaselaw.ch/entscheid/zh_steuerrekursgericht_DB.2012.95</w:t>
      </w:r>
    </w:p>
    <w:p>
      <w:r>
        <w:t>FR: ZH_STEUERREKURSGERICHT DB.2012.95 du 15 octobre 1996</w:t>
      </w:r>
    </w:p>
    <w:p>
      <w:r>
        <w:t>IT: ZH_STEUERREKURSGERICHT DB.2012.95 del 15 ottobre 1996</w:t>
      </w:r>
    </w:p>
    <w:p>
      <w:pPr>
        <w:pStyle w:val="Heading2"/>
      </w:pPr>
      <w:r>
        <w:t>Regeste</w:t>
      </w:r>
    </w:p>
    <w:p>
      <w:r>
        <w:t>Eine Auszahlung einer Kapitalleistung aus der Säule 3a und ein nachfolgender Einkauf in die Pensionskasse stellen keinen steuerneutralen Transfer innerhalb des Vorsorgekreises dar, wenn die Auszahlung wegen Erreichen des Auszahlungsalters erfolgte, kein Stellenwechsel erfolgte, der Pflichtige vielmehr kurz darauf pensioniert wurde.</w:t>
      </w:r>
    </w:p>
    <w:p>
      <w:pPr>
        <w:pStyle w:val="Heading2"/>
      </w:pPr>
      <w:r>
        <w:t>Erwägungen</w:t>
      </w:r>
    </w:p>
    <w:p>
      <w:r>
        <w:rPr>
          <w:b/>
        </w:rPr>
        <w:t>E. 1</w:t>
      </w:r>
    </w:p>
    <w:p>
      <w:r>
        <w:t>A,</w:t>
      </w:r>
    </w:p>
    <w:p>
      <w:r>
        <w:rPr>
          <w:b/>
        </w:rPr>
        <w:t>E. 2</w:t>
      </w:r>
    </w:p>
    <w:p>
      <w:r>
        <w:t>Der Einkauf erweist sich auch unter Berücksichtigung der rechtlichen Be- schränkungen als gesetzeskonform. Das Vorliegen einer Vorsorgelücke in der erforder- lichen Höhe ist belegt. Zudem hat der Pflichtige sein Altersguthaben ab dem 1. Februar 2011 zu 100% als Rente bezogen, so dass die Einkaufsbeschränkungen bei unmittel- bar nachfolgendem Kapitalbezug nicht zur Anwendung gelangen (Art. 79b Abs. 3 BVG, in der Fassung vom 3. Oktober 2003, in Kraft seit 1. Januar 2006, sowie BGr, 12. März 2010, 2C_658+659/2009).</w:t>
      </w:r>
    </w:p>
    <w:p>
      <w:r>
        <w:rPr>
          <w:b/>
        </w:rPr>
        <w:t>E. 3</w:t>
      </w:r>
    </w:p>
    <w:p>
      <w:r>
        <w:t>Beiträge an die berufliche Vorsorge sind im interkantonalen Verhältnis als Gewinnungskosten zu betrachten und somit objektmässig direkt der betreffenden Ein- kunftsart zuzurechnen (BGr, 15. Oktober 1996, StE 1998 A 24.42.4 Nr. 1; Philipp Bet- schart in: Kommentar zum Schweizerischen Steuerrecht, Interkantonales Steuerrecht, 2011, § 24 N 13). Der Einkauf von Fr. 50'000.- ist deshalb für die Staats- und Gemein- desteuern beim steuerbaren Einkommen gleich wie das unselbstständige Erwerbsein- kommen dem Kanton Zürich zuzuteilen.</w:t>
      </w:r>
    </w:p>
    <w:p>
      <w:r>
        <w:rPr>
          <w:b/>
        </w:rPr>
        <w:t>E. 4</w:t>
      </w:r>
    </w:p>
    <w:p>
      <w:r>
        <w:t>Gestützt auf diese Erwägungen sind die Beschwerde und der Rekurs gut- zuheissen. Bei diesem Ausgang sind die Verfahrenskosten der Beschwerdegegnerin bzw. dem Rekursgegner aufzuerlegen (Art. 144 Abs. 1 DBG und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