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DB.2012.263 vom 20. Februar 2012</w:t>
      </w:r>
    </w:p>
    <w:p>
      <w:r>
        <w:t>ZH Steuerrekursgericht, 2012-02-20, DE</w:t>
      </w:r>
    </w:p>
    <w:p>
      <w:r>
        <w:rPr>
          <w:b/>
        </w:rPr>
        <w:t xml:space="preserve">Quelle: </w:t>
      </w:r>
      <w:r>
        <w:t>https://mcp.opencaselaw.ch/entscheid/zh_steuerrekursgericht_DB.2012.263</w:t>
      </w:r>
    </w:p>
    <w:p>
      <w:r>
        <w:t>FR: ZH_STEUERREKURSGERICHT DB.2012.263 du 20 février 2012</w:t>
      </w:r>
    </w:p>
    <w:p>
      <w:r>
        <w:t>IT: ZH_STEUERREKURSGERICHT DB.2012.263 del 20 febbraio 2012</w:t>
      </w:r>
    </w:p>
    <w:p>
      <w:pPr>
        <w:pStyle w:val="Heading2"/>
      </w:pPr>
      <w:r>
        <w:t>Regeste</w:t>
      </w:r>
    </w:p>
    <w:p>
      <w:r>
        <w:t>Liegenschaftsunterhaltskosten. Die Kosten für den Ersatz der Terrassenplatten sind nicht als Unterhaltskosten anrechenbar, weil der zwei Jahre nach Gebäudeerstellung erfolgte Ersatz dazu diente, eine von Anfang an mangelhafte Einrichtung zu beheben.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ST.2012.293</w:t>
      </w:r>
    </w:p>
    <w:p>
      <w:r>
        <w:t>- 6 - wird. Dass der Austausch erst zwei Jahre nach der Erstellung des Gebäudes resp. diverser vom Pflichtigen veranlasster Umbauten erfolgte, spielt dabei keine Rolle. Un- terhalt liegt selbst dann nicht vor, wenn eine nachgewiesenermassen bereits bei der ersten Erstellung fehlerhafte Einrichtung erst zu einem noch späteren Zeitpunkt ersetzt wird.</w:t>
      </w:r>
    </w:p>
    <w:p>
      <w:r>
        <w:rPr>
          <w:b/>
        </w:rPr>
        <w:t>E. 3</w:t>
      </w:r>
    </w:p>
    <w:p>
      <w:r>
        <w:t>Diese Erwägungen führen zur Abweisung der Rechtsmittel. Wie in E. 1 dar- gelegt sind die in der Steuerperiode 2010 steuerbaren Einkommen auf Fr. 251'000.- (direkte Bundessteuer) und Fr. 250'300.- (Staats- und Gemeindesteuern) zu erhöhen. Bei diesem Verfahrensausgang sind die Kosten des Beschwerde-/Rekursverfahrens dem Pflichtigen aufzuerlegen (Art. 144 Abs. 1 DBG und § 151 Abs. 1 StG). Da der erst mit Beschwerde-/Rekursantrag gestellte Antrag auf Erhöhung der Steuern bei der Streitwertfestsetzung ausser Betracht fällt (RB 1958 Nr. 45; VGr. 17. Juni 2004, SB.2004.00015), erübrigt es sich, einen Teil der Verfahrenskosten der Beschwerde- gegnerin/dem Rekursgegner aufzuerlegen.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