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DB.2012.243 vom 19. November 2012</w:t>
      </w:r>
    </w:p>
    <w:p>
      <w:r>
        <w:t>ZH Steuerrekursgericht, 2012-11-19, DE</w:t>
      </w:r>
    </w:p>
    <w:p>
      <w:r>
        <w:rPr>
          <w:b/>
        </w:rPr>
        <w:t xml:space="preserve">Quelle: </w:t>
      </w:r>
      <w:r>
        <w:t>https://mcp.opencaselaw.ch/entscheid/zh_steuerrekursgericht_DB.2012.243</w:t>
      </w:r>
    </w:p>
    <w:p>
      <w:r>
        <w:t>FR: ZH_STEUERREKURSGERICHT DB.2012.243 du 19 novembre 2012</w:t>
      </w:r>
    </w:p>
    <w:p>
      <w:r>
        <w:t>IT: ZH_STEUERREKURSGERICHT DB.2012.243 del 19 novembre 2012</w:t>
      </w:r>
    </w:p>
    <w:p>
      <w:pPr>
        <w:pStyle w:val="Heading2"/>
      </w:pPr>
      <w:r>
        <w:t>Regeste</w:t>
      </w:r>
    </w:p>
    <w:p>
      <w:r>
        <w:t>Weiterbildungskosten. Tiergestütztes Coaching. Abweisung von Beschwerde und Rekurs, da ungenügend substanziiert und mangelhaft belegt, zumal der Besuch eines tiergestützten Coachings durch eine Produkt- bzw. Projektleiterin einer Versicherungs-Gesellschaft in keinem engen qualifizierten und wesentlichen Zusammenhang zu ihrer beruflichen Tätigkeit steht.</w:t>
      </w:r>
    </w:p>
    <w:p>
      <w:pPr>
        <w:pStyle w:val="Heading2"/>
      </w:pPr>
      <w:r>
        <w:t>Erwägungen</w:t>
      </w:r>
    </w:p>
    <w:p>
      <w:r>
        <w:rPr>
          <w:b/>
        </w:rPr>
        <w:t>E. 2</w:t>
      </w:r>
    </w:p>
    <w:p>
      <w:r>
        <w:t>ST.2012.269</w:t>
      </w:r>
    </w:p>
    <w:p>
      <w:r>
        <w:t>- 8 - den Elementen des Persönlichkeitstrainings verbunden werden. Zusammengefasst geht es um Themen wie die Grundlagenarbeit mit Tieren, persönliche Lebensziele, Mensch und Tier im Dialog, nonverbale Kommunikation sowie das Tier als unser Spie- gel. Schwerpunktmässige Ausbildungsinhalte sind das Verständnis und eine Einfüh- rung in die Tiersprache (als Körpersprache), die Übernahme klarer Führung, die Kom- munikation mit dem Tier vom Boden aus, die Körpersprache des Menschen sowie Selbstwahrnehmung und -einschätzung, die innere Stimme bzw. die Intuition, der Um- gang mit schwierigen Situationen, sich selbst näher kennenzulernen, die Wahrneh- mung und die Interpretation. Als Nutzen gibt die F bessere Chancen auf dem Arbeits- markt, Förderung der eigenen Ressourcen auf seinem Lebensweg, mehr Service für die Kunden, Förderung der persönlichen Ressourcen der Klienten, neue Ideen für den Unterricht, Leistungssteigerung des Tieres durch Motivation sowie Sicherheit im Um- gang mit Tieren an. Vorliegend fehlt es damit am qualifiziert engen und wesentlichen Zusammen- hang zwischen der beruflichen Tätigkeit der Pflichtigen und dem von ihr besuchten Lehrgang. Die Pflichtige arbeitete als Produkt- bzw. Projektleiterin D der E in erster Linie mit Menschen und war beispielsweise nicht Tierpflegerin. Führungsqualitäten waren bei ihrer beruflichen Stellung zweifellos gefragt, doch war der besuchte Lehr- gang, dessen Schwerpunkt bei der Arbeit mit Tieren liegt, für diese Tätigkeit höchstens am Rande nützlich und liegt keineswegs im Rahmen des Üblichen. So ist insbesondere nicht klar, inwieweit die Grundlagenarbeit mit Tieren vom Boden aus, der Dialog inkl. nonverbaler Kommunikation zwischen Mensch und Tier sowie das "Tier als unser Spiegel" für die Pflichtige eine Weiterbildung darstellen sollen. Auch die Bereiche Phy- siologie des Tieres, Physiotherapie mit Tieren sowie das Arbeiten mit fremden Tieren haben keinen Bezug zu ihrer beruflichen Tätigkeit während der Steuerperiode 2010. Es ist vielmehr davon auszugehen, dass die Pflichtige durch den Besuch die- ses Lehrgangs ihre Chancen auf dem Arbeitsmarkt erhöhen wollte, um ihre neue Tä- tigkeit als Unternehmensberaterin aufnehmen zu können.</w:t>
      </w:r>
    </w:p>
    <w:p>
      <w:r>
        <w:rPr>
          <w:b/>
        </w:rPr>
        <w:t>E. 3</w:t>
      </w:r>
    </w:p>
    <w:p>
      <w:r>
        <w:t>Diese Erwägungen führen zur Abweisung von Beschwerde und Rekurs. Die Kosten des Verfahrens sind ausgangsgemäss der Pflichtigen aufzuerlegen (Art. 144 Abs. 1 DBG bzw. § 151 Abs. 1 StG), und es ist ihr keine Parteientschädigung zuzu- 2 DB.2012.243 2 ST.2012.269</w:t>
      </w:r>
    </w:p>
    <w:p>
      <w:r>
        <w:t>- 9 - sprechen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