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DB.2012.218 vom 8. Januar 2013</w:t>
      </w:r>
    </w:p>
    <w:p>
      <w:r>
        <w:t>ZH Steuerrekursgericht, 2013-01-08, DE</w:t>
      </w:r>
    </w:p>
    <w:p>
      <w:r>
        <w:rPr>
          <w:b/>
        </w:rPr>
        <w:t xml:space="preserve">Quelle: </w:t>
      </w:r>
      <w:r>
        <w:t>https://mcp.opencaselaw.ch/entscheid/zh_steuerrekursgericht_DB.2012.218</w:t>
      </w:r>
    </w:p>
    <w:p>
      <w:r>
        <w:t>FR: ZH_STEUERREKURSGERICHT DB.2012.218 du 8 janvier 2013</w:t>
      </w:r>
    </w:p>
    <w:p>
      <w:r>
        <w:t>IT: ZH_STEUERREKURSGERICHT DB.2012.218 del 8 gennaio 2013</w:t>
      </w:r>
    </w:p>
    <w:p>
      <w:pPr>
        <w:pStyle w:val="Heading2"/>
      </w:pPr>
      <w:r>
        <w:t>Regeste</w:t>
      </w:r>
    </w:p>
    <w:p>
      <w:r>
        <w:t>Beschwer, rechtliches Interesse, Betrieb einer Photovoltaikanlage, selbständige Erwerbstätigkeit, Geschäftsvermögen, Präponderanzmethode, alternatives Wirtschaftsgut, geschäftlich begründete Kosten, Abschreibung, Einkommen aus unbeweglichem Privatvermögen, Unterhaltskosten der Liegenschaft, Investitionen, die dem Energiesparen und dem Umweltschutz dienen, Lebenshaltungskosten, Beweisverfahren, Mangel des Einschätzungsverfahrens, Rückweisung Die Pflichtigen betreiben auf einem eigenen Grundstück, welches zum Privatvermögen gehört, eine Photovoltaikanlage. Obwohl sie eine Höhereinschätzung beantragen, ist die Prozessvoraussetzung der Beschwer zu bejahen. Vorliegend ist unklar, ob die Erträgnisse aus der Photovoltaikanlage Einkommen aus einer selbständigen Erwerbstätigkeit, aus unbeweglichem Privatvermögen oder aus Liebhaberei sind. Unerheblich ist die Tatsache, dass die Anlage fest mit einem Grundstück des Privatvermögens verbunden ist. Denn die Frage, was Geschäftsvermögen ist, ist wirtschaftlich und nicht sachenrechtlich nach dem Akzessionsprinzip zu beurteilen. Da das kantonale Steueramt kein Beweisverfahren zur Untersuchung des Sachverhalts durchführte, ist die Sache zur Verbesserung des Mangels an die Vorinstanz zurückzuweisen.</w:t>
      </w:r>
    </w:p>
    <w:p>
      <w:pPr>
        <w:pStyle w:val="Heading2"/>
      </w:pPr>
      <w:r>
        <w:t>Erwägungen</w:t>
      </w:r>
    </w:p>
    <w:p>
      <w:r>
        <w:rPr>
          <w:b/>
        </w:rPr>
        <w:t>E. 2</w:t>
      </w:r>
    </w:p>
    <w:p>
      <w:r>
        <w:t>ST.2012.242</w:t>
      </w:r>
    </w:p>
    <w:p>
      <w:r>
        <w:t>- 8 - zivilrechtlichen, sondern einen wirtschaftlichen Begriff dar (Madeleine Simonek, Die Abgrenzung des Geschäfts- vom Privatvermögen zwischen Ehegatten, in: ASA 65, 525). Grundstückbestandteile, welche der selbständigen Erwerbstätigkeit dienen, sind im Übrigen selbst dann (unter gewissen Voraussetzungen) aktivierungsfähig und damit Bestandteil des Geschäftsvermögens, wenn das betreffende Grundstück sich nicht im zivilrechtlichen Eigentum des Selbständigerwerbenden befindet (BGr, 17. Novem- ber 2006, 2A.44/2006, StR 2007, 116; vgl. auch Karl Blumer, Die kaufmännische Bi- lanz, 10. A. 1989, S. 95). Eine Aktivierung ist aber nur möglich, wenn es sich bei den Gebäudebestanteilen um Installationen handelt, welche der selbständigen Erwerbstä- tigkeit unmittelbar dienen (vgl. auch Peter Böckli, Schweizer Aktienrecht, 4. A., 2009, § 8 N 172 ff.).</w:t>
      </w:r>
    </w:p>
    <w:p>
      <w:r>
        <w:rPr>
          <w:b/>
        </w:rPr>
        <w:t>E. 3</w:t>
      </w:r>
    </w:p>
    <w:p>
      <w:r>
        <w:t>a) Einkünfte aus unbeweglichem Privatvermögen sind nicht Entgelt für eine Tätigkeit wie das Einkommen aus Erwerbstätigkeit. Sie fliessen dem Steuerpflichtigen von Dritten als Entgelt für die Zurverfügungstellung von Vermögenswerten zu, die in seinem Eigentum stehen (Richner/Frei/Kaufmann/Meuter, Art. 21 N 29 f. DBG, und § 21 N 16 f. StG). Ertrag aus unbeweglichem Privatvermögen ist somit jeder Wertzu- fluss aus einem unbeweglichen Vermögensrecht, der nicht adäquate Folge der Reali- sation dieses Rechts bildet. b) Nach Art. 32 Abs. 2 Satz 1 DBG bzw. § 30 Abs. 2 Satz 1 StG können bei Liegenschaften im Privatvermögen die Unterhaltskosten, die Versicherungsprämien und die Kosten der Verwaltung durch Dritte abgezogen werden. Das Eidgenössische Finanzdepartement bestimmt, wieweit Investitionen, die dem Energiesparen und dem Umweltschutz dienen, den Unterhaltskosten gleichgestellt werden können (Art. 32 Abs. 2 Satz 2 DBG). Diesbezüglich hat der Bundesrat am 24. August 1992 die Verord- nung über den Abzug der Kosten von Liegenschaften des Privatvermögens bei der direkten Bundessteuer erlassen (SR 642.116; ZStB II, Nr. 63/650). Gemäss Art. 5 die- ser Verordnung fallen der Ersatz von veralteten und die erstmalige Anbringung von neuen Bauteilen oder Installationen in bestehenden Gebäuden unter die Sonderrege- lung. Ebenfalls am 24. August 1992 erliess das Eidgenössische Finanzdepartement die Verordnung über die Massnahmen zur rationellen Energieverwendung und zur Nut- zung erneuerbarer Energien (SR 642.116.1; ZStB II, Nr. 63/660). Wie aus Art. 1 lit. b Ziff. 4 dieser Verordnung hervorgeht, gehört der Einbau von Anlagen zur Nutzung er- neuerbarer Energien zu den Investitionen gemäss Art. 32 Abs. 2 Satz 2 DBG. 2 DB.2012.218 2 ST.2012.242</w:t>
      </w:r>
    </w:p>
    <w:p>
      <w:r>
        <w:t>- 9 - Gemäss der Verweisung von § 30 Abs. 2 StG fand die Regelung des Bundes auch Eingang in das Zürcher Steuerrecht.</w:t>
      </w:r>
    </w:p>
    <w:p>
      <w:r>
        <w:rPr>
          <w:b/>
        </w:rPr>
        <w:t>E. 4</w:t>
      </w:r>
    </w:p>
    <w:p>
      <w:r>
        <w:t>a) Nach Auffassung des Vorstands der Schweizerischen Steuerkonferenz stellt der Betrieb einer Photovoltaikanlage bei einer selbst bewohnten oder selbst ge- nutzten Liegenschaft, unabhängig von der Grösse der Anlage, keine selbständige Er- werbstätigkeit dar. Für die Frage, ob die Erträge aus dem Stromverkauf Erwerb aus selbständiger Erwerbstätigkeit oder Einkommen aus unbeweglichem Privatvermögen seien, müsse auf die Qualifikation des betreffenden Grundstücks abgestellt werden. Stelle das Grundstück nach der Präponderanzmethode (ohne Photovoltaikanlage) Ge- schäftsvermögen dar, sei Einkommen aus selbständiger Erwerbstätigkeit anzunehmen. Andernfalls sei von Einkommen aus unbeweglichem Privatvermögen auszugehen (Schweizerische Steuerkonferenz [SSK], Analyse zur steuerrechtlichen Qualifikation von Investitionen in umweltschonende Technologien wie Photovoltaikanlagen, an der Sitzung vom 15. Februar 2011 vom Vorstand der SSK genehmigt). b) Dieser Rechtsauffassung der Schweizerischen Steuerkonferenz kann in- dessen nicht in sämtlichen Punkten zugestimmt werden. Ob der Betrieb einer Photo- voltaikanlage eine selbständige Erwerbstätigkeit darstellt, muss mittels der erwähnten Abgrenzungskriterien ermittelt werden. Dient eine Anlage in überwiegendem Ausmass dem Stromverkauf an Dritte und nicht der Deckung des eigenen Strombedarfs des Betreibers, so strebt dieser, unter Inkaufnahme eines unternehmerischen Risikos, ei- nen unternehmerischen Gewinn an. Dass die Abnehmer des Stroms auf Grund der Besonderheiten des Strommarktes zahlenmässig beschränkt sind, ändert nichts daran, dass der Betreiber durch Einsatz von Arbeitsleistung und Kapital planmässig zur Ge- winnerzielung am Wirtschaftsverkehr teilnimmt. Die Annahme einer selbständigen Er- werbstätigkeit setzt allerdings voraus, dass auf Grund einer Investitionsrechnung über- haupt damit zu rechnen ist, dass die Anlage während ihrer Lebensdauer insgesamt einen Gewinn abwirft. Falls diese Frage zu verneinen wäre, müsste auf Liebhaberei geschlossen werden (vgl. oben Ziff. 2b). c) Der durchschnittliche jährliche Stromkonsum eines Dreipersonenhaus- halts in einem Einfamilienhaus dürfte unter 8'000 kWh liegen (www.stadtwerke.winterthur.ch). Gemäss dem Vertrag, welchen die Pflichtigen am 2 DB.2012.218 2 ST.2012.242</w:t>
      </w:r>
    </w:p>
    <w:p>
      <w:r>
        <w:t>- 10 - 29. Oktober 2009 mit den Elektrizitätswerken des Kantons Zürich (EKZ) schlossen, beträgt vorliegend die jährliche Nennliefermenge aus der Anlage 30'000 kWh und da- mit ein Mehrfaches des erwähnten Strombedarfs eines Dreipersonenhaushalts. In den wenig sonnenreichen Monaten Oktober bis Dezember 2009 lieferten die Pflichtigen eine Energiemenge von 3'666 kWh, welche von den EKZ mit Fr. 2'052.95 (Fr. 0.56/kWh) entschädigt wurden. Es bestehen demgemäss gewisse Anhaltspunkte, dass vorliegend eine selb- ständige Erwerbstätigkeit vorliegen könnte, wenn sich auf Grund einer Investitions- rechnung ergäbe, dass während der Lebensdauer der Anlage mit einem Ertragsüber- schuss gerechnet werden könne. Wie dargelegt, ist die Tatsache unerheblich, dass die Photovoltaikanlage fest mit dem Gebäude verbunden ist, auf dem sie montiert ist, und damit sachenrechtlich einen Bestandteil der sich im Privatvermögen befindlichen Lie- genschaft bildet. Auf Grund des unklaren Sachverhalts ist insgesamt indessen eine endgültige Beurteilung nicht möglich, ob eine selbständige Erwerbstätigkeit, eine Lieb- haberei oder Ertrag aus unbeweglichem Privatvermögen anzunehmen ist.</w:t>
      </w:r>
    </w:p>
    <w:p>
      <w:r>
        <w:rPr>
          <w:b/>
        </w:rPr>
        <w:t>E. 5</w:t>
      </w:r>
    </w:p>
    <w:p>
      <w:r>
        <w:t>a) Laut Art. 123 Abs. 1 DBG und § 132 Abs. 1 StG stellen die Steuerbehör- den zusammen mit dem Steuerpflichtigen die für eine vollständige und richtige Besteu- erung massgebenden tatsächlichen und rechtlichen Verhältnisse fest (Kooperations- maxime; Richner/Frei/Kaufmann/Meuter, § 132 N 1 ff. StG mit Hinweisen, auch zum Folgenden). Die Verfahrensinstruktion liegt bei der zuständigen Behörde (Prozessma- xime des Amtsbetriebs); diese besorgt ausschliesslich die Verfahrensleitung (Alfred Kölz, Prozessmaximen im schweizerischen Verwaltungsprozess, 1974, S. 9). Die Steuerpflichtigen sind daher, abgesehen von der Pflicht zur Einreichung der Steuerer- klärung, nicht gehalten, aus eigener Initiative tätig zu werden. b) Leitet die Veranlagungsbehörde im Einschätzungsverfahren, das grund- sätzlich von der Untersuchungsmaxime beherrscht ist, ein Beweisverfahren zur Abklä- rung von steuerbegründenden oder steuererhöhenden Tatsachen ein, so hält sie den Steuerpflichtigen zur Mitwirkung an. Als Ausfluss aus dem Grundsatz des rechtlichen Gehörs (Art. 29 Abs. 2 der Bundesverfassung vom 18. April 1999 [BV]) sind die Steu- erpflichtigen indessen nicht nur zur Mitwirkung verpflichtet (§ 135 Abs. 1 StG), sondern auch berechtigt, Beweisanträge zu stellen, an der Beweiserhebung mitzuwirken und 2 DB.2012.218 2 ST.2012.242</w:t>
      </w:r>
    </w:p>
    <w:p>
      <w:r>
        <w:t>- 11 - sich zum Ergebnis des Beweisverfahrens zu äussern (Richner/Frei/Kaufmann/Meuter, Art. 123 N 19 DBG). Die Beweisauflage muss daher so formuliert sein, dass sie dem Steuerpflichtigen die Möglichkeit einräumt, diese Rechte auch auszuüben. Erst nach Abschluss des Beweisverfahrens ist unter Würdigung sämtlicher Beweismittel zu prü- fen, ob der Beweis erbracht wurde (Grundsatz der freien Beweiswürdigung). Eine so genannte antizipierte Beweiswürdigung, bei der die Behörde befugt ist, auf gewisse Beweiserhebungen zu verzichten, ist nur zulässig, falls die entsprechenden Beweismit- tel nach den Erkenntnissen der Lebenserfahrung nicht zur Klärung des Sachverhalts beitragen (Martin Zweifel, Die Sachverhaltsermittlung im Steuerveranlagungsverfahren, 1989, S. 24). c) Das Steuerrekursgericht hat gemäss § 149 Abs. 2 StG die Steuerfaktoren grundsätzlich nach seinen eigenen Erhebungen festzustellen (RB ORK 1958 Nr. 44).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 rensmängel kann das Gericht nicht heilen, da der gesetzlich vorgeschriebene Instan- zenzug unzulässigerweise verkürzt und die untere Einschätzungs- bzw. Rechtsmittel- behörde praktisch von der Einhaltung eines korrekten Verfahrens dispensiert würde (Richner/Frei/Kaufmann/Meuter, § 149 N 31 f. StG). Von einem bedeutsamen Verfah- rensmangel ist gemäss Rechtsprechung des Verwaltungsgerichts insbesondere dann auszugehen, wenn über ein wesentliches Element des Sachverhalts keine Untersu- chung geführt wurde (RB 2001 Nr. 93, RB 2000 Nr. 130 = StE 2002 B 93.5 Nr. 23 = ZStP 2001, 39; ZStP 2000, 291). d) Im Veranlagungs- bzw. Einschätzungsverfahren sowie im Einsprachever- fahren verzichtete das kantonale Steueramt auf die Durchführung eines Beweisverfah- rens. Wie dargelegt, kann auf der Grundlage der vorhandenen Unterlagen nicht beur- teilt werden, ob vorliegend eine selbständige Erwerbstätigkeit, eine Liebhaberei oder Ertrag aus unbeweglichem Privatvermögen anzunehmen ist. Demnach erweist sich ein Beweisverfahren als unerlässlich. Die Sache ist daher, in teilweiser Gutheissung von Beschwerde und Rekurs, an die Vorinstanz zurückzuweisen. Das kantonale Steueramt ist im zweiten Rechtsgang gehalten, den rechtserheblichen Sachverhalt umfassend abzuklären, damit eine Beurteilung des Betriebs der Photovoltaikanlage möglich ist. 2 DB.2012.218 2 ST.2012.242</w:t>
      </w:r>
    </w:p>
    <w:p>
      <w:r>
        <w:t>- 12 -</w:t>
      </w:r>
    </w:p>
    <w:p>
      <w:r>
        <w:rPr>
          <w:b/>
        </w:rPr>
        <w:t>E. 6</w:t>
      </w:r>
    </w:p>
    <w:p>
      <w:r>
        <w:t>Da das kantonale Steueramt das Verfahren verursacht hat, sind die Kosten der Beschwerdegegnerin/dem Rekursgegner aufzuerlegen (Art. 144 Abs. 1 DBG und § 151 StG). Parteientschädigungen sind nicht zuzusprechen (Art. 144 Abs. 4 DBG i.V.m. Art. 64 Abs. 1-3 des Verwaltungsverfahrensgesetzes vom 20. Dezember 1968; § 152 StG i.V.m. § 17 Abs. 2 des Verwaltungsrechtspflegegesetzes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