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DB.2011.296 vom 30. März 2012</w:t>
      </w:r>
    </w:p>
    <w:p>
      <w:r>
        <w:t>ZH Steuerrekursgericht, 2012-03-30, DE</w:t>
      </w:r>
    </w:p>
    <w:p>
      <w:r>
        <w:rPr>
          <w:b/>
        </w:rPr>
        <w:t xml:space="preserve">Quelle: </w:t>
      </w:r>
      <w:r>
        <w:t>https://mcp.opencaselaw.ch/entscheid/zh_steuerrekursgericht_DB.2011.296</w:t>
      </w:r>
    </w:p>
    <w:p>
      <w:r>
        <w:t>FR: ZH_STEUERREKURSGERICHT DB.2011.296 du 30 mars 2012</w:t>
      </w:r>
    </w:p>
    <w:p>
      <w:r>
        <w:t>IT: ZH_STEUERREKURSGERICHT DB.2011.296 del 30 marzo 2012</w:t>
      </w:r>
    </w:p>
    <w:p>
      <w:pPr>
        <w:pStyle w:val="Heading2"/>
      </w:pPr>
      <w:r>
        <w:t>Regeste</w:t>
      </w:r>
    </w:p>
    <w:p>
      <w:r>
        <w:t>Für den Erlass einer Haftungsverfügung bei noch gemeinsam zu besteuernden, getrennt lebenden Ehegatten ist die Bezugsbehörde und nicht die Veranlagungsbehörde zuständig. Die gegen die Veranlagung angerufene Einsprachebehörde ist daher auf das Gesuch um Erlass einer solchen Verfügung zu Recht nicht eingetreten. Mit dem Einspracheentscheid wurde aber über die Veranlagung nicht entschieden, sodass die Sache zurückzuweisen ist. Da zudem die Voraussetzungen für eine Ermessenseinschätzung nicht gegegben waren, erfolgt die Rückweisung gleich ins Einschätzungsverfahren.</w:t>
      </w:r>
    </w:p>
    <w:p>
      <w:pPr>
        <w:pStyle w:val="Heading2"/>
      </w:pPr>
      <w:r>
        <w:t>Erwägungen</w:t>
      </w:r>
    </w:p>
    <w:p>
      <w:r>
        <w:rPr>
          <w:b/>
        </w:rPr>
        <w:t>E. 1</w:t>
      </w:r>
    </w:p>
    <w:p>
      <w:r>
        <w:t>A,</w:t>
      </w:r>
    </w:p>
    <w:p>
      <w:r>
        <w:rPr>
          <w:b/>
        </w:rPr>
        <w:t>E. 2</w:t>
      </w:r>
    </w:p>
    <w:p>
      <w:r>
        <w:t>a) Nach Art. 13 Abs. 1 des Bundesgesetzes über die direkte Bundessteuer vom 14. Dezember 1990 (DBG) haften Ehegatten, die in rechtlich und tatsächlich un- 1 DB.2011.296 1 ST.2011.382</w:t>
      </w:r>
    </w:p>
    <w:p>
      <w:r>
        <w:t>- 4 - getrennter Ehe leben, solidarisch für die Gesamtsteuer (Satz 1). Jeder Ehegatte haftet jedoch nur für seinen Anteil an der Gesamtsteuer, wenn einer von beiden zahlungsun- fähig ist (Satz 2). Bei rechtlich oder tatsächlich getrennter Ehe entfällt die Solidarhaf- tung auch für alle noch offenen Steuerschulden (Art. 13 Abs. 2 DBG). aa) Ist eine der erwähnten Voraussetzungen gegeben – also nicht nur Zah- lungsunfähigkeit eines Ehegatten, sondern auch rechtliche oder tatsächliche Trennung der Ehe – haftet jeder Ehegatte nur noch für seinen Anteil an der Gesamtsteuer. Der Haftungsanteil jedes Ehegatten ist in einem speziellen Haftungsverfahren nach rechts- kräftiger Veranlagung der Ehegatten zu bestimmen (Peter Locher, Kommentar zum DBG, I. Teil, 2001, Art. 13 N 16 f., auch zum Folgenden und Agner/Jung/Steinmann, Kommentar zum Gesetz über die direkte Bundessteuer, 1995, Art. 13 N 2). Eine solche Haftungsverfügung bildet die Voraussetzung für eine erfolgversprechende Schuld- betreibung, indem sie den definitiven Rechtsöffnungstitel gemäss Art. 80 SchKG darstellt. Letzterer Umstand bildet auch gleichzeitig die Rechtfertigung dafür, dass die Haftungsverfügung sinnvollerweise erst nach rechtskräftiger Veranlagung der Ehegat- ten zu erlassen ist (a.M. bezüglich dem Wegfall der Solidarhaftung bei Zahlungsunfä- higkeit eines der beiden Ehegatten: Greminger/Bärtschi, in: Kommentar zum Schwei- zerischen Steuerrecht, Band I/2a, 2. A., 2008, Art. 13 N 5 DBG und Richner/Frei/Kauf- mann/Meuter, Handkommentar zur direkten Bundessteuer, 2. A., 2009, Art. 13 N 13 DBG). Vorausgesetzt für den Erlass einer Haftungsverfügung ist neben dem Grund für den Wegfall der Solidarhaftung weiter, dass ein entsprechender Antrag eines Ehegat- ten und ein Steuerausstand vorhanden ist (Locher, Art. 16 N 16). bb) Hat die Haftungsverfügung in einem speziellen Verfahren und erst nach rechtskräftiger Veranlagung zu ergehen, ist für deren Erlass zwingend nicht mehr die Veranlagungsbehörde zuständig, sondern die Bezugsbehörde. Denn die Zuständigkeit der Einschätzungsbehörden endet mit Eintritt der Rechtskraft einer Einschätzung (Re- vision- und Nachsteuerverfahren vorbehalten). Nach Art. 160 DBG wird die Steuer durch den Kanton bezogen, in dem die Veranlagung vorgenommen worden ist. Welche Behörde innerhalb des Bezugskantons konkret den Steuerbezug vorzunehmen hat, ist durch den Bezugskanton festzulegen, wie auch die Organisation des Steuerbezugs ganz allgemein dem kantonalen Recht obliegt (Art. 104 Abs. 4 DBG; Richner/Frei/Kaufmann/Meuter, Art. 160 N 8 DBG). Ge- mäss § 6 lit. h der kantonalen Verordnung über die Durchführung des Bundesgesetzes 1 DB.2011.296 1 ST.2011.382</w:t>
      </w:r>
    </w:p>
    <w:p>
      <w:r>
        <w:t>- 5 - über die direkte Bundessteuer vom 4. November 1998 (Kant. VO) ist zum Erlass von Haftungsverfügungen gemäss Art. 13 DBG die für den gesamten Steuerbezug verant- wortliche Dienstabteilung Bundessteuer des kantonalen Steueramts zuständig. Die Haftungsverfügung ist mit den ordentlichen Rechtsmitteln anfechtbar. Dagegen steht die Veranlagung der direkten Bundessteuer den Divisionen und der Dienstabteilung Inventarkontrolle/Erbschaftssteuer zu (§ 7 lit. a Kant. VO). Die nämlichen Amtsstellen entscheiden sodann auch über die gegen die Veranlagung gerichteten Einsprachen (Art. 135 DBG). b) Vorliegend stellte die Pflichtige mit der Einsprache gegen die Veranlagung 2006 vom 5. September 2011 erstmals ein sinngemässes Begehren um Erlass einer Haftungsverfügung zufolge Getrenntlebens. Nach dem Gesagten war für die Behand- lung dieses Begehrens erstinstanzlich jedoch weder die Veranlagungsbehörde noch die gegen die Veranlagung angerufene Einsprachebehörde, d.h. die massgebliche Division des kantonalen Steueramts, zuständig, sondern allein die für den Steuerbezug verantwortliche Dienstabteilung Bundessteuer des kantonalen Steueramts. Mithin ist diese Division im angefochtenen Einspracheentscheid betreffend direkte Bundessteuer als gegen die Veranlagung angerufene Rechtsmittelbehörde zu Recht auf das Haf- tungsbegehren nicht eingetreten. Der Einspracheentscheid hat insofern Bestand.</w:t>
      </w:r>
    </w:p>
    <w:p>
      <w:r>
        <w:rPr>
          <w:b/>
        </w:rPr>
        <w:t>E. 3</w:t>
      </w:r>
    </w:p>
    <w:p>
      <w:r>
        <w:t>Bei den Staats- und Gemeindesteuern haften die in rechtlich und tatsäch- lich ungetrennter Ehe lebenden Ehegatten ebenfalls solidarisch für die Gesamtsteuer und entfällt diese Haftung, wenn einer von beiden Ehegatten zahlungsunfähig ist (§ 12 Abs. 1 Satz 1 und 2 des Steuergesetzes vom 8. Juni 1997, StG). Indessen fehlt eine Art. 13 Abs. 2 DBG analoge Bestimmung für den Fall, dass die Ehegatten rechtlich oder tatsächlich getrennt leben. Wie dieses Schweigen des kantonalen Gesetzgebers zu interpretieren ist, ist umstritten. Richner/Frei/Kaufmann/Meuter (§ 12 N 9 StG) hal- ten dafür, es könne nicht abgeleitet werden, der Gesetzgeber habe eine andere Lösung als im DBG angestrebt, d.h. die Solidarhaftung der Ehegatten falle bei Ge- trenntleben der Ehegatten bei den Staats- und Gemeindesteuern ebenfalls weg. Gegenteiliger Auffassung sind das kantonale Steueramt sowie die gegen einen dies- bezüglichen Entscheid einer Gemeinde angerufenen Rechtsmittelmittelinstanzen (Ent- scheid der Finanzdirektion vom 21. Mai 2007, B 17/2007, www.ZHEntscheide.zh.ch und Urteil des Bundesgerichts, BGr, 13. Dezember 2007, 2C_306/2007 E. 3.2, www.bger.ch). Wie es sich damit verhält, kann vorliegend offen bleiben, da für die Be- 1 DB.2011.296 1 ST.2011.382</w:t>
      </w:r>
    </w:p>
    <w:p>
      <w:r>
        <w:t>- 6 - handlung eines entsprechenden Begehrens jedenfalls wiederum die Bezugsbehörde zuständig wäre (so schon StRK I, 17. Mai 2007, 1 ST.2007.77 und im Ergebnis auch die Finanzdirektion im zitierten Entscheid). Die Einschätzungsbehörde und damit auch die gegen die Einschätzung angerufenen Rechtsmittelinstanzen fallen ausser Betracht. Demnach ist das kantonale Steueramt im Einspracheentscheid letztlich auch betref- fend Staats- und Gemeindesteuern zu Recht auf das Haftungsbegehren der Pflichtigen mangels Zuständigkeit nicht eingetreten. Der Einspracheentscheid hat insofern wie- derum Bestand.</w:t>
      </w:r>
    </w:p>
    <w:p>
      <w:r>
        <w:rPr>
          <w:b/>
        </w:rPr>
        <w:t>E. 4</w:t>
      </w:r>
    </w:p>
    <w:p>
      <w:r>
        <w:t>a) Die Pflichtige hat mit ihrer Einsprache aber nicht nur den Erlass einer Haftungsverfügung, sondern auch die Aufhebung der Einschätzung und deren Neuvor- nahme verlangt. Auf Unterbreitung von Einschätzungsvorschlägen im Einsprachever- fahren hin hat sie sodann am 3. November 2011 weitere die Veranla- gung/Einschätzung betreffende Ausführungen machen lassen. Das kantonale Steueramt hat in den Einspracheentscheiden nur das Begehren um Erlass von Haf- tungsverfügungen behandelt und ist darauf mangels Zuständigkeit nicht eingetreten. Hinsichtlich der Veranlagung/Einschätzung hat es sodann zwar die beantragte getrenn- te Besteuerung der Ehegatten – nach vorgängiger stillschweigender Gutheissung des Fristwiederstellungsgesuchs der Pflichtigen – geprüft, dies aber nur in der Begründung und nicht auch im Dispositiv. Letzteres hätte diesbezüglich auf Abweisung der Einspra- chen lauten müssen. Insbesondere hat es aber die weiteren Einwendungen der Pflich- tigen in der Eingabe vom 3. November 2011, welche sich gegen die Zulässigkeit einer sie betreffenden Ermessenseinschätzung wegen fehlender Verletzung von Mitwir- kungspflichten richtete, nicht gewürdigt und darüber nicht entschieden. b) Das Steuerrekursgericht hat gemäss § 149 Abs. 2 StG die Steuerfaktoren grundsätzlich nach seinen eigenen Erhebungen festzustellen (RB ORK 1958 Nr. 44).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Vorliegend hat das kantonale Steueramt über die Veranlagung/Einschätzung nicht entschieden, sodass es sich rechtfertigt, die Sache an dieses zur Nachholung des Versäumten zurückzuwei- sen. 1 DB.2011.296 1 ST.2011.382</w:t>
      </w:r>
    </w:p>
    <w:p>
      <w:r>
        <w:t>- 7 - c) Die Rückweisung müsste an sich nur ins Einspracheverfahren erfolgen, indessen drängt sich eine solche ins Einschätzungsverfahren auf: Einkommen und Vermögen der Ehegatten, die in rechtlich und tatsächlich ungetrennter Ehe leben, werden ohne Rücksicht auf den Güterstand zusammenge- rechnet (Art. 9 Abs. 1 DBG, § 7 Abs. 1 StG). Nach Art. 113 Abs. 1 DBG bzw. § 123 Abs. 1 StG üben dabei die Ehegatten die dem Steuerpflichtigen zukommenden Verfah- rensrechte und -pflichten gemeinsam aus. Gleichwohl ist nur jeder Ehegatte für seine eigenen Steuerfaktoren mitwirkungspflichtig (Martin Zweifel, in: Kommentar zum Schweizerischen Steuerrecht, Band I/2b, 2. A., 2008, Art. 113 N 25 DBG und Rich- ner/Frei/Kaufmann/Meuter, § 123 N 9 StG, je mit Hinweisen, auch zum Folgenden). Diese Beschränkung wirkt sich im Veranlagungsverfahren dahingehend aus, dass die Steuerbehörde vom einzelnen Gatten bloss die Vornahme von Mitwirkungshandlungen verlangen darf, welche die Ermittlung seiner eigenen Steuerfaktoren betreffen. Aller- dings lässt sich die Frage, welche Einkommens- und Vermögensbestandteile welchem Ehegatten zuzuweisen sind, nicht immer leicht beantworten. Dieses Problem wird da- durch entschärft, dass die steuerbehördlichen Verfügungen (Auflagen, Mahnungen, Vorladungen etc.) an beide Ehegatten gemeinsam oder – wenn diese getrennt leben – an jeden Ehegatten gesondert zu richten sind (Art. 117 Abs. 3 und 4 DBG, § 123 Abs. 4 StG). Folglich wird auch der nicht mitwirkungspflichtige Ehegatte über eine sol- che Verfügung orientiert. Er hat alsdann die Möglichkeit und das Recht, sich an der Sachverhaltsermittlung zu beteiligen, weil es nicht darauf ankommt, welcher Ehepart- ner die Verfahrenspflichten erfüllt. Vorliegend hat der Steuerkommissär Auflagen und Mahnungen vom 16. Juni 2010 bzw. 3./23./31. Mai 2011 zur Erklärung der Vermögensvermehrung aufgrund der korrigierten Steuererklärung 2006 und zum Nachweis eines (Familien-)Darlehens nur der Vertreterin des Pflichtigen (D AG) bzw. diesem selbst zugestellt. Nicht eröffnet hat er diese Verfügungen dagegen der Pflichtigen, obwohl diese schon seit April 2008 vom Pflichtigen getrennt lebte und am 22. März 2010 eine eigene Vertretung in der Person von C samt entsprechender Vollmacht angezeigt hatte. Die Pflichtige rügt diese Unterlassung sowohl in der Eingabe vom 3. November 2011 als auch in Beschwerde und Rekurs. Damit fehlt es bezüglich der Pflichtigen an den formellen Voraussetzun- gen für die Vornahme einer Ermessensveranlagung/-einschätzung im Sinn von Art. 130 Abs. 2 DBG bzw. § 139 Abs. 2 StG, da hierzu eine gültige Auflage und Mahnung erforderlich ist. Es liegt ein schwerwiegender Verfahrensmangel vor, der die Rückwei- 1 DB.2011.296 1 ST.2011.382</w:t>
      </w:r>
    </w:p>
    <w:p>
      <w:r>
        <w:t>- 8 - sung der Sache zwecks Neuentscheids nicht nur ins Einspracheverfahren, sondern ins Einschätzungsverfahren rechtfertigt.</w:t>
      </w:r>
    </w:p>
    <w:p>
      <w:r>
        <w:rPr>
          <w:b/>
        </w:rPr>
        <w:t>E. 5</w:t>
      </w:r>
    </w:p>
    <w:p>
      <w:r>
        <w:t>Diese Erwägungen führen hinsichtlich der Frage der Haftungsbeschränkung zur Abweisung der Rechtsmittel und im Übrigen zu deren teilweisen Gutheissung (Rückweisung), insgesamt damit ebenfalls zur teilweisen Gutheissung. Ausgangsge- mäss sind die Verfahrenskosten den mehrheitlich unterliegenden Pflichtigen zu 3/4 und der Beschwerdegegnerin bzw. dem Rekursgegner zu 1/4 aufzuerlegen (Art. 144 Abs. 1 DBG, § 151 Abs. 1 StG). Die Zusprechung einer Parteientschädigung an die Pflichtige entfällt (Art. 144 Abs. 4 DBG i.V.m. Art. 64 Abs. 1 des Bundesgesetzes über das Ver- waltungsverfahren vom 20. Dezember 1968, § 152 StG i.V.m. § 17 Abs. 2 des Rechts- 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