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DB.2011.266 vom 17. April 2007</w:t>
      </w:r>
    </w:p>
    <w:p>
      <w:r>
        <w:t>ZH Steuerrekursgericht, 2007-04-17, DE</w:t>
      </w:r>
    </w:p>
    <w:p>
      <w:r>
        <w:rPr>
          <w:b/>
        </w:rPr>
        <w:t xml:space="preserve">Quelle: </w:t>
      </w:r>
      <w:r>
        <w:t>https://mcp.opencaselaw.ch/entscheid/zh_steuerrekursgericht_DB.2011.266</w:t>
      </w:r>
    </w:p>
    <w:p>
      <w:r>
        <w:t>FR: ZH_STEUERREKURSGERICHT DB.2011.266 du 17 avril 2007</w:t>
      </w:r>
    </w:p>
    <w:p>
      <w:r>
        <w:t>IT: ZH_STEUERREKURSGERICHT DB.2011.266 del 17 aprile 2007</w:t>
      </w:r>
    </w:p>
    <w:p>
      <w:pPr>
        <w:pStyle w:val="Heading2"/>
      </w:pPr>
      <w:r>
        <w:t>Regeste</w:t>
      </w:r>
    </w:p>
    <w:p>
      <w:r>
        <w:t>Die der Pflichtigen gemäss Scheidungskonvention vom geschiedenen Ehemann ausbezahlte Hälfte der Rente aus dessen 2. Säule kann nicht zu 80% besteuert werden, da die Rente vom Ehemann und nicht von der Vorsorgeeinrichtung stammt. Es liegen Unterhaltsleistungen des geschiedenen Ehegatten vor, die vollumfänglich zu versteuern sind.</w:t>
      </w:r>
    </w:p>
    <w:p>
      <w:pPr>
        <w:pStyle w:val="Heading2"/>
      </w:pPr>
      <w:r>
        <w:t>Erwägungen</w:t>
      </w:r>
    </w:p>
    <w:p>
      <w:r>
        <w:rPr>
          <w:b/>
        </w:rPr>
        <w:t>E. 1</w:t>
      </w:r>
    </w:p>
    <w:p>
      <w:r>
        <w:t>Schweizerische Eidgenossenschaft, Beschwerdegegnerin,</w:t>
      </w:r>
    </w:p>
    <w:p>
      <w:r>
        <w:rPr>
          <w:b/>
        </w:rPr>
        <w:t>E. 2</w:t>
      </w:r>
    </w:p>
    <w:p>
      <w:r>
        <w:t>a) Vorliegend wurde die Pflichtige von ihrem Ehemann B mit Urteil vom … März 2003 geschieden. Gemäss der mit dem Urteil genehmigten Scheidungskon- vention (Ziff. 2 Abs. 2) hatte sich der frühere Ehemann, B, per …. November 2000 vor- zeitig pensionieren lassen und bezog seither von der Vorsorgeeinrichtung seiner Ar- beitgeberin (C) eine Altersrente von Fr. 6'372.-. Mit der Scheidungskonvention verpflichtete er sich, diese Rente mit Wirkung ab 1. Mai 2002 zur Hälfte mit der Pflichti- gen zu teilen und ihr jeweils unverzüglich nach Eingang der monatlichen Rentenzah- lung die ihr zustehende Rentenhälfte zu überweisen. Dementsprechend hat er ihr im Jahr 2009 monatlich Fr. 3'186.- zukommen lassen (Gutschriftsanzeigen der D für das Konto der Pflichtigen). Daraus ergibt sich, dass Anspruchsberechtigter und Empfänger der von der Vorsorgeeinrichtung der C ausgerichteten Altersrente allein B als Vorsorgenehmer ist. Dagegen besitzt die Pflichtige gegenüber der Vorsorgeeinrichtung keinen eigenen An- spruch auf Ausrichtung der Rente, hätte sie diese doch sonst von der Vorsorgeeinrich- tung direkt erhalten und in der Scheidungskonvention keine Pflicht von B zur Überwei- sung der Rentenhälfte an sie vereinbaren müssen. Damit übereinstimmend führt sie in der Einsprache denn auch aus, die Aufteilung der Rente mit B selber vorgenommen zu haben, weil ein Splitting des Altersguthabens von der C nicht mehr möglich gewesen sei. Zudem teilte sie auf diesbezügliche Auflage der Steuerkommissärin im Einspra- cheverfahren mit, eine Bescheinigung der Vorsorgeeinrichtung der C, wonach sie ge- genüber dieser einen direkten Rentenanspruch besitze, könne sie nicht beibringen, da die Rententeilung mit der Vorsorgeeinrichtung der C wegen des bereits eingetretenen Vorsorgefalls nichts mehr zu tun habe. Demnach stammt aber die streitige Rente vom geschiedenen Ehemann und nicht aus einer Einrichtung der beruflichen Vorsorge. Sie gilt daher nicht als Einkunft 1 DB.2011.266 1 ST.2011.350</w:t>
      </w:r>
    </w:p>
    <w:p>
      <w:r>
        <w:t>- 5 - aus beruflicher Vorsorge im Sinn von Art. 22 Abs. 1 DBG, sodass sie auch nicht ge- stützt auf Art. 204 Abs. 1 lit. b DBG im reduzierten Umfang von 80% besteuert werden kann. b) Nichts daran zu ändern vermag der weitere Punkt in der Scheidungskon- vention (Ziff. 2 Abs. 3), in dem vereinbart wurde, dass die Pflichtige "diesen Rentenan- spruch" – gemeint ist der Anspruch der Pflichtigen gegenüber B auf Überweisung der hälftigen Rente – auch bei einer Wiederverheiratung oder im Fall einer Wohngemein- schaft mit einem andern Mann behalte. Denn die Bezeichnung "Rentenanspruch" in der Konvention bewirkt nicht, dass sich der Anspruch der Pflichtigen nicht wie verein- bart gegen B, sondern gegen die Vorsorgeeinrichtung der C richtet, die Rentenhälfte daher als von Letzterer ausgerichtet gilt und eine Einkunft aus der beruflichen Vorsorge darstellt. Diese Bezeichnung dürfte wohl vielmehr Ausfluss der Regelung in Art. 124 ZGB des Scheidungsrechts sein: Ist bei einem oder bei beiden Ehegatten im Zeitpunkt der Scheidung bereits ein Vorsorgefall eingetreten oder können aus andern Gründen Ansprüche aus der beruflichen Vorsorge, die während der Dauer der Ehe erworben wurden, nicht geteilt werden, so ist eine angemessene Entschädigung geschuldet (Abs. 1). Als Entschädigung kann sowohl eine Entschädigung als auch eine Renten- leistung zugesprochen werden (Hermann Walser, in: Basler Kommentar zum Zivilge- setzbuch, 4. A., 2010, Art. 124 N 14 ZGB). Die Scheidung erfolgte bei der Pflichtigen im März 2003. In diesem Zeitpunkt war der Vorsorgefall bei B bereits eingetreten, da er sich per … November 2000 vorzeitig hatte pensionieren lassen. Die Ansprüche aus der beruflichen Vorsorge von B konnten daher nicht mehr geteilt werden, sodass die Pflich- tige gemäss Art. 124 Abs. 1 ZGB gegenüber B einen Anspruch auf eine Entschädigung hatte, welche sie sich gemäss genehmigter Scheidungskonvention als Rente auszah- len liess. Dies mag dann in der Konvention zur Bezeichnung "Rentenanspruch" geführt haben. Wie es sich diesbezüglich verhält – die Vorinstanz erwähnt als mögliche wei- tere Grundlage der streitigen Leistung den nachehelichen Unterhalt gemäss Art. 125 ZGB –, kann aber ohnehin offen bleiben, da die Pflichtige jedenfalls keine Einkunft aus beruflicher Vorsorge vereinnahmte und daher die beantragte reduzierte Besteuerung von 80% nicht beanspruchen kann. 1 DB.2011.266 1 ST.2011.350</w:t>
      </w:r>
    </w:p>
    <w:p>
      <w:r>
        <w:t>- 6 - Wie sich die Verhältnisse nach allfälligem Vorversterben von B präsentieren, braucht nicht geprüft zu werden, da dieser Fall nicht vorliegt.</w:t>
      </w:r>
    </w:p>
    <w:p>
      <w:r>
        <w:rPr>
          <w:b/>
        </w:rPr>
        <w:t>E. 3</w:t>
      </w:r>
    </w:p>
    <w:p>
      <w:r>
        <w:t>a) Laut Art. 16 Abs. 1 DBG unterliegen der Einkommenssteuer alle wieder- kehrenden und einmaligen Einkünfte. Dazu zählen nach Art. 23 lit. f DBG auch Unter- haltsbeiträge, die ein Steuerpflichtiger bei Scheidung, gerichtlicher oder tatsächlicher Trennung für sich erhält, sowie Unterhaltsbeiträge, die ein Elternteil für die unter seiner elterlichen Gewalt stehenden Kinder erhält. Unterhaltsbeiträge sind regelmässig oder unregelmässig wiederkehrende Unterstützungen und Unterhaltsleistungen zur De- ckung des laufenden Lebensbedarfs, die dem Empfänger keinen Vermögenszuwachs verschaffen. Keine Unterhaltsbeiträge sind Leistungen der Ehegatten zur Erfüllung güterrechtlicher Forderungen. Tilgt der leistende Ehegatte daher durch wiederkehrende Zahlungen ratenweise eine güterrechtliche Forderung, sind diese Zahlungen trotz ihrer Periodizität nicht Unterhaltsbeiträge im Sinn von Art. 23 lit. f DBG und unterliegen auch sonst nicht der Einkommenssteuer (Richner/Frei/Kaufmann/Meuter, Art. 23 N 59 und 61 mit Hinweisen). b) Die Pflichtige macht nicht geltend, mit den fraglichen Zahlungen habe B ihre güterrechtlichen Ansprüche befriedigt. Der Scheidungskonvention lässt sich zu- dem im Gegenteil entnehmen, dass die Ehegatten bei Abschluss der Konvention güter- rechtlich bereits vollständig auseinandergesetzt waren (Ziff. 6). Demnach stellen die fraglichen Leistungen B Unterhaltszahlungen nach Art. 23 lit. f DBG dar. Als solche unterliegen sie der Einkommenssteuer vollumfänglich.</w:t>
      </w:r>
    </w:p>
    <w:p>
      <w:r>
        <w:rPr>
          <w:b/>
        </w:rPr>
        <w:t>E. 4</w:t>
      </w:r>
    </w:p>
    <w:p>
      <w:r>
        <w:t>§ 16 Abs. 1, § 22 Abs. 1/2, § 23 lit. f und § 270 Abs. 1 des Steuergesetzes vom 8. Juni 1997 (StG) entsprechen Art. 16 Abs. 1, Art. 22 Abs. 1/2, Art. 23 lit. f und Art. 204 Abs. 1 lit. b DBG. Daraus folgt, dass die Erwägungen zur direkten Bundes- steuer auch für die kantonalen Steuern gelten (BGr, 23. Oktober 2009, 2C_868/2008 E. 2.1, www.bger.ch). Demnach unterliegen die Zahlungen B an die Pflichtige auch bei den Staats- und Gemeindesteuern der Einkommenssteuer vollumfänglich.</w:t>
      </w:r>
    </w:p>
    <w:p>
      <w:r>
        <w:rPr>
          <w:b/>
        </w:rPr>
        <w:t>E. 5</w:t>
      </w:r>
    </w:p>
    <w:p>
      <w:r>
        <w:t>Aus der Gewährung eines Abzugs in vergangenen Steuerperioden kann ein Steuerpflichtiger nichts zu seinen Gunsten ableiten. Denn Einschätzungen erwachsen 1 DB.2011.266 1 ST.2011.350</w:t>
      </w:r>
    </w:p>
    <w:p>
      <w:r>
        <w:t>- 7 - allein im Dispositiv in Rechtskraft. Eine rechtliche Würdigung vermag darum für eine nachfolgende Taxation keine präjudizierende Wirkung entfalten (VGr, 28. Juni 2006, SB.2006.00005; BGr, 17. April 2007, 2A.400/2006, www.bger.ch, auch zum Folgen- den). Die Steuerbehörde kann und muss die rechtliche Würdigung gleicher Sachver- halte für jede Periode neu prüfen. Der Umstand, dass das kantonale Steueramt die streitige Rente der Pflichtigen bisher nur zu 80% besteuert hat, vermag letzterer daher nicht zu helfen.</w:t>
      </w:r>
    </w:p>
    <w:p>
      <w:r>
        <w:rPr>
          <w:b/>
        </w:rPr>
        <w:t>E. 6</w:t>
      </w:r>
    </w:p>
    <w:p>
      <w:r>
        <w:t>Diese Erwägungen führen zur Abweisung der Rechtsmittel. Ausgangsge- mäss sind die Kosten des Verfahrens der unterliegenden Pflichtigen aufzuerlegen (Art. 144 Abs. 1 DBG, § 151 Abs. 1 StG). Die Zusprechung von Parteientschädigungen entfällt (Art. 144 Abs. 4 DBG i.V.m. Art. 64 Abs. 1 des Bundesgesetzes über das Ver- waltungsverfahren vom 20. Dezember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