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DB.2011.254 vom 4. Juli 2012</w:t>
      </w:r>
    </w:p>
    <w:p>
      <w:r>
        <w:t>ZH Steuerrekursgericht, 2012-07-04, DE</w:t>
      </w:r>
    </w:p>
    <w:p>
      <w:r>
        <w:rPr>
          <w:b/>
        </w:rPr>
        <w:t xml:space="preserve">Quelle: </w:t>
      </w:r>
      <w:r>
        <w:t>https://mcp.opencaselaw.ch/entscheid/zh_steuerrekursgericht_DB.2011.254</w:t>
      </w:r>
    </w:p>
    <w:p>
      <w:r>
        <w:t>FR: ZH_STEUERREKURSGERICHT DB.2011.254 du 4 juillet 2012</w:t>
      </w:r>
    </w:p>
    <w:p>
      <w:r>
        <w:t>IT: ZH_STEUERREKURSGERICHT DB.2011.254 del 4 luglio 2012</w:t>
      </w:r>
    </w:p>
    <w:p>
      <w:pPr>
        <w:pStyle w:val="Heading2"/>
      </w:pPr>
      <w:r>
        <w:t>Regeste</w:t>
      </w:r>
    </w:p>
    <w:p>
      <w:r>
        <w:t>Wahrung der Einsprachefrist. Massgebender Zeitpunkt der Zustellung im Veranlagungsverfahren. Die Anwendung der Zustellfiktion rechtfertigt sich auch bei vertretenen Steuerpflichtigen nur bei Bestehen eines besonderen Verfahrens- oder Prozessrechtsverhältnisses. In casu bestand kein die Empfangspflicht begründendes Verfahrensverhältnis bzw. ist die Obliegenheit des Pflichtigen, den Empfang von behördlichen Sendungen sicherzustellen, nach über einem Jahr seit Aufforderung zur Einreichung der Steuererklärung bereits erloschen. Werden die mit B-Post versandten Veranlagungsverfügung und der Einschätzungsentscheids vom Vertreter infolge eines Postzurückbehaltungsauftrags erst nach dem bei B-Postsendungen normalerweise zu erwartenden Zustelltermin in Empfang genommen, darf beim Fehlen eines die Empfangspflicht begründenden Verfahrensverhältnisses somit nicht von einer schuldhaften Vereitelung der Zustellung ausgegangen werden. Massgebend für den Fristenlauf ist somit der Zeitpunkt der tatsächlichen Zustellung. Rückweisung.</w:t>
      </w:r>
    </w:p>
    <w:p>
      <w:pPr>
        <w:pStyle w:val="Heading2"/>
      </w:pPr>
      <w:r>
        <w:t>Erwägungen</w:t>
      </w:r>
    </w:p>
    <w:p>
      <w:r>
        <w:rPr>
          <w:b/>
        </w:rPr>
        <w:t>E. 2</w:t>
      </w:r>
    </w:p>
    <w:p>
      <w:r>
        <w:t>ST.2011.334 Entscheid</w:t>
      </w:r>
    </w:p>
    <w:p>
      <w:r>
        <w:rPr>
          <w:b/>
        </w:rPr>
        <w:t>E. 4</w:t>
      </w:r>
    </w:p>
    <w:p>
      <w:r>
        <w:t>Gemäss Art. 144 Abs. 2 DBG und § 151 Abs. 2 StG werden die Kosten ganz oder teilweise dem obsiegenden Beschwerdeführer/Rekurrenten auferlegt, wenn er bei pflichtgemässem Verhalten schon im Einschätzungs- oder Einspracheverfahren zu seinem Recht gekommen wäre. Diese Voraussetzung ist vorliegend gegeben. Denn der Pflichtige trug den entscheidenden Sachverhalt (Bestehens eines Postzurückbehal- tungsauftrags), der zur Gutheissung der Rechtsmittel führte, erstmals im Beschwerde- und Rekursverfahren vor. Vorher erwähnte er – ohne weitere Begründung – nur, dass der Einschätzungsentscheid und die Veranlagungsverfügung 2009 infolge Ferienab- wesenheit erst am 23. August 2011 beim Vertreter eingingen. Aufgrund dieser unge- nauen Sachdarstellung ist das kantonale Steueramt zu Recht auf die Einsprache(n) nicht eingetreten und hat der Pflichtige das Beschwerde- und Rekurs- verfahren massgeblich verursacht. Grundsätzlich wären ihm die gesamten Kosten auf- zuerlegen. Da jedoch das kantonale Steueramt die vom Pflichtigen vorgetragene Sachdarstellung und überdies auch die vom Einzelrichter des Steuerrekursgerichts vertretene Rechtsauffassung nicht anerkannte (Prot. S. 4), ist davon auszugehen, dass die Entscheidungen des kantonalen Steueramts in Kenntnis der neuen Sachlage nicht anders ausgefallen wären. Unter diesen Umständen sind die Kosten den Parteien je zur Hälfte aufzuerlegen und sind keine Parteientschädigungen zuzusprechen (Art. 144 Abs. 4 DBG i.V.m. Art. 64 Abs. 1 - 3 des Verwaltungsverfahrensgesetzes vom 20. De- zember 1968 und § 151 StG i.V.m. § 17 Abs. 2 des Verwaltungsrechtspflegegesetzes vom 24. Mai 1959/6. September 1987). 2 DB.2011.254 2 ST.2011.334</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