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ZH_STEUERREKURSGERICHT DB.2011.206 vom 8. Mai 2012</w:t>
      </w:r>
    </w:p>
    <w:p>
      <w:r>
        <w:t>ZH Steuerrekursgericht, 2012-05-08, DE</w:t>
      </w:r>
    </w:p>
    <w:p>
      <w:r>
        <w:rPr>
          <w:b/>
        </w:rPr>
        <w:t xml:space="preserve">Quelle: </w:t>
      </w:r>
      <w:r>
        <w:t>https://mcp.opencaselaw.ch/entscheid/zh_steuerrekursgericht_DB.2011.206</w:t>
      </w:r>
    </w:p>
    <w:p>
      <w:r>
        <w:t>FR: ZH_STEUERREKURSGERICHT DB.2011.206 du 8 mai 2012</w:t>
      </w:r>
    </w:p>
    <w:p>
      <w:r>
        <w:t>IT: ZH_STEUERREKURSGERICHT DB.2011.206 del 8 maggio 2012</w:t>
      </w:r>
    </w:p>
    <w:p>
      <w:pPr>
        <w:pStyle w:val="Heading2"/>
      </w:pPr>
      <w:r>
        <w:t>Regeste</w:t>
      </w:r>
    </w:p>
    <w:p>
      <w:r>
        <w:t>Ermessenstaxation, keine qualifizierte Einsprachebegründung. Nichteintreten erfolgte zu Recht.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ST.2011.282</w:t>
      </w:r>
    </w:p>
    <w:p>
      <w:r>
        <w:t>- 6 -</w:t>
      </w:r>
    </w:p>
    <w:p>
      <w:r>
        <w:rPr>
          <w:b/>
        </w:rPr>
        <w:t>E. 4</w:t>
      </w:r>
    </w:p>
    <w:p>
      <w:r>
        <w:t>Ausgangsgemäss sind die Kosten des vorliegenden Verfahrens den Pflich- tigen aufzuerlegen (Art. 144 Abs. 1 DBG bzw. § 151 Abs. 1 StG).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