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DB.2011.133 vom 22. November 2011</w:t>
      </w:r>
    </w:p>
    <w:p>
      <w:r>
        <w:t>ZH Steuerrekursgericht, 2011-11-22, DE</w:t>
      </w:r>
    </w:p>
    <w:p>
      <w:r>
        <w:rPr>
          <w:b/>
        </w:rPr>
        <w:t xml:space="preserve">Quelle: </w:t>
      </w:r>
      <w:r>
        <w:t>https://mcp.opencaselaw.ch/entscheid/zh_steuerrekursgericht_DB.2011.133</w:t>
      </w:r>
    </w:p>
    <w:p>
      <w:r>
        <w:t>FR: ZH_STEUERREKURSGERICHT DB.2011.133 du 22 novembre 2011</w:t>
      </w:r>
    </w:p>
    <w:p>
      <w:r>
        <w:t>IT: ZH_STEUERREKURSGERICHT DB.2011.133 del 22 novembre 2011</w:t>
      </w:r>
    </w:p>
    <w:p>
      <w:pPr>
        <w:pStyle w:val="Heading2"/>
      </w:pPr>
      <w:r>
        <w:t>Regeste</w:t>
      </w:r>
    </w:p>
    <w:p>
      <w:r>
        <w:t>Verrechnung von Vorjahresverlusten einer Gesellschaft nach deren fusionsweiser Übernahme. Auch Gesellschaften, welche sich mit Vermögensverwaltung befassen, können in einen faktisch liquidierten Zustand gebracht werden, welche die spätere Verlustverrechnung ausschliesst. Rulinganfragen müssen einen Antrag enthalten, aus welchem für die Steuerbehörden überhaupt ersichtlich wird, in Hinsicht auf welchen steuerrechtlichen Tatbestand sie den unterbreiteten Sachverhalt überprüfen müssen; fehlt ein solcher, fehlt es bereits an der Vertrauensgrundlage.</w:t>
      </w:r>
    </w:p>
    <w:p>
      <w:pPr>
        <w:pStyle w:val="Heading2"/>
      </w:pPr>
      <w:r>
        <w:t>Erwägungen</w:t>
      </w:r>
    </w:p>
    <w:p>
      <w:r>
        <w:rPr>
          <w:b/>
        </w:rPr>
        <w:t>E. 1</w:t>
      </w:r>
    </w:p>
    <w:p>
      <w:r>
        <w:t>DB.2011.133</w:t>
      </w:r>
    </w:p>
    <w:p>
      <w:r>
        <w:t>- 4 - zweier Kapitalgesellschaften die aufnehmende Gesellschaft die Verlustvorträge der absorbierten Gesellschaft steuerwirksam geltend machen. b) Die Verlustverrechnung gemäss Art. 67 DBG wird bei einer Fusion entspre- chend dem Normsinn der angeführten Bestimmungen nicht zugelassen, wenn die übernommene Gesellschaft bereits vor der Fusion wirtschaftlich (faktisch) liquidiert oder in liquide Form gebracht war oder wenn sie kurze Zeit nach der Übernahme wirt- schaftlich liquidiert bzw. eingestellt wird (Höhn/Waldburger, S. 544 f.). In diesen Fällen fehlt es an der betrieblichen beziehungsweise wirtschaftlichen Kontinuität, die nach Sinn und Zweck der gesetzlich vorgesehenen Verlustverrechnung vorausgesetzt ist. In einem solchen Fall erübrigt es sich auch, die Voraussetzungen für die Annahme einer Steuerumgehung zu prüfen. Es ergibt sich nämlich bereits aus dem Normzweck von Art. 67 Abs. 1 DBG, dass es auch im Fall einer Fusion nur dann zur Verlustübernahme kommen kann, wenn die übernommene Gesellschaft in der aufnehmenden Gesell- schaft in irgendeiner Form "weiterlebt" (BGr, 31. Januar 2005, 2A.583/2003; VGr, 18. November 2009, SB.2008.00120, www.vgrzh.ch; Cagianut/Höhn, Unternehmungs- steuerrecht, 3. A., 1993, S. 696; Reich/Duss, S. 272; BStRK, 6. Januar 2003,</w:t>
      </w:r>
    </w:p>
    <w:p>
      <w:r>
        <w:rPr>
          <w:b/>
        </w:rPr>
        <w:t>E. 1.1</w:t>
      </w:r>
    </w:p>
    <w:p>
      <w:r>
        <w:t>31.12.2008 mit einem steuerbaren Reingewinn von Fr. ….- und einem Eigenka- pital von Fr. ….- veranlagt. B. Hiergegen liess die Pflichtige am 8. April 2011 Einsprache erheben und beantragen, sie gemäss Steuererklärung zu veranlagen. Das kantonale Steueramt wies das Rechtsmittel am 29. Juni 2011 ab. C. Mit Beschwerde vom 29. Juli 2011 wiederholte die Pflichtige den Einspra- cheantrag, unter Kosten- und Entschädigungsfolgen zulasten der Beschwerdegegne-</w:t>
      </w:r>
    </w:p>
    <w:p>
      <w:r>
        <w:rPr>
          <w:b/>
        </w:rPr>
        <w:t>E. 4</w:t>
      </w:r>
    </w:p>
    <w:p>
      <w:r>
        <w:t>Gestützt auf diese Erwägungen ist die Beschwerde abzuweisen. Bei die- sem Ausgang sind die Verfahrenskosten der Pflichtigen aufzuerlegen und sind die Voraussetzungen für die Zusprechung einer Parteientschädigung an sie nicht erfüllt (Art. 144 Abs. 1 und 4 DBG i.V.m. Art. 64 Abs. 1 des Bundesgesetzes über das Ver- waltungsverfahren vom 20. Dezember 1968). 1 DB.2011.133</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