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DB.2010.231 vom 12. April 2011</w:t>
      </w:r>
    </w:p>
    <w:p>
      <w:r>
        <w:t>ZH Steuerrekursgericht, 2011-04-12, DE</w:t>
      </w:r>
    </w:p>
    <w:p>
      <w:r>
        <w:rPr>
          <w:b/>
        </w:rPr>
        <w:t xml:space="preserve">Quelle: </w:t>
      </w:r>
      <w:r>
        <w:t>https://mcp.opencaselaw.ch/entscheid/zh_steuerrekursgericht_DB.2010.231</w:t>
      </w:r>
    </w:p>
    <w:p>
      <w:r>
        <w:t>FR: ZH_STEUERREKURSGERICHT DB.2010.231 du 12 avril 2011</w:t>
      </w:r>
    </w:p>
    <w:p>
      <w:r>
        <w:t>IT: ZH_STEUERREKURSGERICHT DB.2010.231 del 12 aprile 2011</w:t>
      </w:r>
    </w:p>
    <w:p>
      <w:pPr>
        <w:pStyle w:val="Heading2"/>
      </w:pPr>
      <w:r>
        <w:t>Regeste</w:t>
      </w:r>
    </w:p>
    <w:p>
      <w:r>
        <w:t>Pauschale Wertberichtigung auf Handelsbeständen in Wertschriften und Edelmetallen: Auf eine solche Wertberichtigung haben nur Effektenhändler und Banken laut dem entsprechenden Merkblatt des kantonalen Steueramts Anspruch. Effektenhändler in diesem Sinn sind nur solche gemäss Börsengesetz. Dies trifft auf die pflichtige Gesellschaft nicht zu. Aufrechnung der Wertberichtigung.</w:t>
      </w:r>
    </w:p>
    <w:p>
      <w:pPr>
        <w:pStyle w:val="Heading2"/>
      </w:pPr>
      <w:r>
        <w:t>Erwägungen</w:t>
      </w:r>
    </w:p>
    <w:p>
      <w:r>
        <w:rPr>
          <w:b/>
        </w:rPr>
        <w:t>E. 1</w:t>
      </w:r>
    </w:p>
    <w:p>
      <w:r>
        <w:t>Schweizerische Eidgenossenschaft, Beschwerdegegnerin,</w:t>
      </w:r>
    </w:p>
    <w:p>
      <w:r>
        <w:rPr>
          <w:b/>
        </w:rPr>
        <w:t>E. 2</w:t>
      </w:r>
    </w:p>
    <w:p>
      <w:r>
        <w:t>a) Vorliegend hat die Pflichtige im Abschluss 2007 eine pauschale Wertbe- richtigung von Fr. 2'500'000.- auf ihrem börsenkotierten Wertschriftenbestand per 31. Dezember 2007 von total Fr. 17'726'093.-, entsprechend 14,1%, gebildet. Sie stützt sich dabei einzig auf das erwähnte Merkblatt des kantonalen Steueramts, wonach für Banken und Effektenhändler auf Handelsbeständen in Wertschriften und Edelmetallen eine pauschale Wertberichtigung von 10% (Schweizerische Obligationen) bzw. 20% (übrige Werte) zulässig ist. Der Steuerkommissär spricht der Pflichtigen die Berechti- gung für die Geltendmachung einer solchen pauschalen Wertberichtigung ab mit dem Hinweis, dass sie nicht den Status einer Effektenhändlerin im Sinn des Börsengeset- zes besitze und das Merkblatt nur auf solche Effektenhändler anwendbar sei. 1 DB.2010.231 1 ST.2010.325</w:t>
      </w:r>
    </w:p>
    <w:p>
      <w:r>
        <w:t>- 6 - b) Zur Klärung der Frage, was in der Praxis unter dem Begriff "Effektenhänd- ler" des Merkblatts verstanden wird und was die Gründe für die darin stipulierten pau- schalen Wertberichtigungen auf Handelsbeständen in Wertschriften und Edelmetallen sind, wurde beim kantonalen Steueramt ein Amtsbericht eingeholt. Laut diesem Bericht wendet das kantonale Steueramt das Merkblatt nur auf Steuerpflichtige an, die als Effektenhändler gemäss Börsengesetz vom 24. März 1995 (BEHG) qualifizieren und nicht auf Steuerpflichtige, die als Effektenhändler im Sinn des Bundesgesetzes über die Stempelabgaben vom 27. Juni 1973 (StempelG) gelten (Ziff. 1.1). Als Grund gibt das kantonale Steueramt bezüglich der pauschalen Rückstel- lung auf Handelsbeständen in Wertschriften und Edelmetallen an, dass als Effekten- händler nach BEHG natürliche und juristische Personen und Personengesellschaften gälten, die gewerbsmässig für eigene Rechnung zum kurzfristigen Wiederverkauf oder für Rechnung Dritter Effekten auf dem Sekundärmarkt kauften oder verkauften, auf dem Primärmarkt öffentlich anböten oder selbst Derivate schafften und öffentlich anbö- ten. Mit einem Handelsbestand in Wertschriften und Edelmetallen für den kurzfristigen Wiederverkauf seien grundlegend anders gelagerte wirtschaftliche Risiken verbunden als mit Wertschriften für Anlagezwecke oder Liquiditätsreserve, die mittel- oder langfris- tig gehalten würden. Handelsbestände in Wertschriften und Edelmetallen für den kurz- fristigen Wiederverkauf unterlägen in einem erhöhten Ausmass den Volumen- und Volatilitätsrisiken, was bei einem mittel- oder langfristigen Anlagehorizont ungleich we- niger von Bedeutung sei. Sodann trügen Steuerpflichtige, die gewerbsmässig von Drit- ten ausgegebene Effekten fest übernähmen und sie öffentlich auf dem Primärmarkt anböten, insbesondere das Absatz- und Preisrisiko, d.h. das Risiko, dass die Emission nicht vollständig platziert werden könne und sie so auf einem Bestand an Titeln sit- zenblieben, der dann häufig unter dem Einstandspreis veräussert werden müsse. Die- se Risiken seien im Einzelnen nur schwer quantifizierbar. Dem werde in der Praxis dadurch Rechnung getragen, dass die anspruchsberechtigten Steuerpflichtigen auf ihren Handelsbeständen in Wertschriften und Edelmetallen steuerlich zulässige pau- schale Wertberichtigungen im Umfang von 10% auf schweizerischen Obligationen und 20% auf übrigen Werten bilden dürften (Ziff. 4). c) Die Pflichtige ist unstreitig nicht Effektenhändlerin im Sinn des BEHG son- dern Effektenhändlerin gemäss StempelG. Sie hat daher von vornherein keinen An- spruch auf Bildung von pauschalen Wertschwankungsreserven auf ihren Wertschriften 1 DB.2010.231 1 ST.2010.325</w:t>
      </w:r>
    </w:p>
    <w:p>
      <w:r>
        <w:t>- 7 - gemäss Merkblatt, da das kantonale Steueramt dieses Merkblatt in der Praxis nach eigenem Bekunden nur auf Effektenhändler im Sinn des BEHG anwendet. d) aa) Daran ändert entgegen den Vorbringen der Pflichtigen in Beschwerde und Rekurs nichts, dass weder dem Titel noch dem sonstigen Wortlaut des Merkblatts eine irgendwie geartete Definition des Begriffs des Effektenhändlers zu entnehmen ist. Denn das kantonale Steueramt hat diesen Mangel im eingeholten Amtsbericht nun auf eindeutige Art und Weise behoben und so den Boden für jede Spekulation über den Begriff des Effektenhändlers, wie er im Merkblatt verstanden wird, entzogen. bb) Der Pflichtigen stünde die fragliche pauschale Wertberichtigung auch dann nicht zu, wenn – wie sie geltend macht – in einem Fall einer ausserkantonalen Holdinggesellschaft eine Wertschwankungsreserve gemäss Merkblatt zugestanden worden sein sollte, obwohl es sich dabei um eine Effektenhändlerin gemäss StempelG handelte und nicht um eine solche gemäss BEHG. Denn dieses Zugeständnis erfolgte von der Einschätzungsbehörde des Sitzkantons der Holdinggesellschaft und damit nicht vom kantonalen Steueramt Zürich, sodass dessen Praxis davon nicht berührt ist. cc) Die Pflichtige wendet weiter ein, es gelte im harmonisierten Steuerrecht der Grundsatz, dass Begriffe in den Vollzugsbestimmungen zum Verrechnungs- und Stempelsteuerrecht gleich wie im Gewinnsteuerrecht und umgekehrt zu definieren sowie anzuwenden seien. Mithin sei der Begriff des Effektenhändlers im Bundesge- winnsteuerrecht gleich wie im Bundes-Stempelsteuerrecht auszulegen und anzuwen- den. Sie verweist auf einen Entscheid des Bundesgerichts vom 16. Juni 2010 (2C_79/2010). Dabei übersieht sie, dass das Bundesgericht darin der einheitlichen Auslegung bzw. Anwendung von Begriffen in den genannten drei Steuerarten keines- wegs das Wort redet. Vielmehr weist das oberste Gericht auf diesen Anwendungs- grundsatz bloss hin, weil er im Kreisschreiben Nr. 5 vom 1. Juni 2004 der Eidgenössi- schen Steuerverwaltung enthalten ist und dieses Kreisschreiben den damals vom Bundesgericht zu beurteilenden Sachverhalt eines Mantelhandels regelt. Zudem wäre der Grundsatz nur gerade bei diesem Sachverhalt zu beachten. Mithin lässt sich der- gestalt nicht herleiten, der Begriff des Effektenhändlers gemäss Merkblatt müsse nach der Rechtsprechung des Bundesgerichts mit demjenigen laut StempelG übereinstim- men. 1 DB.2010.231 1 ST.2010.325</w:t>
      </w:r>
    </w:p>
    <w:p>
      <w:r>
        <w:t>- 8 - dd) Die Pflichtige verlangt die Gleichbehandlung mit einem steuerpflichtigen Effektenhändler gemäss BEHG, da sie die gleichen (allgemeinen) Risiken wie dieser trage. Indessen scheitert dies schon daran, dass sie den grössten Teil ihrer Wert- schriften in der Bilanz per Ende 2007 von total Fr. 17'726'093.- (= Fr. 12'976'472.- Be- teiligungen + Fr. 4'749'621.- sonstige Wertschriften) nicht als Handelsbestand, sondern als Beteiligung im Wert von Fr. 12'976'472.-, entsprechend 21,6% aller Aktien, und damit als Anlagevermögen ausweist. Denn auf einer Beteiligung von mehr als 20% ist gemäss Merkblatt die Bildung einer pauschalen Wertberichtigung mangels eines all- gemein vorhandenen Verlustrisikos ohnehin nicht zulässig. Demnach sieht die Pflichti- ge ihre Tätigkeit im Zusammenhang mit der fraglichen Beteiligung (bei der C AG) denn auch selber als "aktiver industrieller Investor" und nicht als Händlerin der Aktientitel. Sodann gilt sie auch nicht als Eigenhändlerin im Sinn des Merkblatts, d.h. als gewerbsmässig für eigene Rechnung zum kurzfristigen Wiederverkauf Handelnde. Als solche würde sie als Effektenhändlerin zwar möglicherweise unter das BEHG fallen, jedoch erreicht sie den hierfür notwendigen Effektenumsatz von Fr. 5 Mia. pro Jahr bei Weitem nicht (Rz 23 des Rundschreibens 2008/05 "Effektenhändler" der Eidgenössi- schen Finanzmarktaufsicht FINMA vom 20. November 2008). Die Käufe und Verkäufe beliefen sich im Geschäftsjahr 2007 vielmehr nur gerade auf Fr. 3'327'739.- bzw. Fr. 2'328'118.- und beschlugen zur Hauptsache nur vier bzw. zwei Gesellschaften (D AG, E AG, F AG und G AG). Auch geht aus den Aufstellungen der Pflichtigen im bisherigen Verfahren die jeweilige Haltedauer der erworbenen Titel nicht hervor, so- dass nicht erstellt ist, ob die Wiederverkäufe kurzfristig waren. Um als Eigenhändlerin zu gelten, müsste die Haltedauer kurzfristig sein. Dass dies wohl nicht der Fall ist, er- gibt sich aus der wiederholt gemachten Aussage der Pflichtigen, dass sie bzw. ihr Ei- gentümer H bei allen 2007/08 gehandelten Unternehmen, d.h. nicht nur bei der als Beteiligung gehaltenen C AG, als "aktiver industrieller Investor" tätig ist. Ganz offenkundig fällt die Pflichtige alsdann auch nicht unter die andern Händlerkategorien des BEHG – Emissions- und Derivathäuser, Market Maker sowie Kundenhändler (Rz 4 des Rundschreibens der FINMA) –, ansonsten sie eine entspre- chende Bewilligung/Lizenz benötigte, die sie jedoch unstreitig nicht besitzt. Dement- sprechend vermag sie denn auch gerade nur eine einzige Kapitalmarkttransaktion zu nennen – Festübernahme der Kapitalerhöhung der I AG –, an der sie in der Funktion 1 DB.2010.231 1 ST.2010.325</w:t>
      </w:r>
    </w:p>
    <w:p>
      <w:r>
        <w:t>- 9 - eines Emissionshauses beteiligt war. Zudem operierte sie dabei nur als Konsortialmit- glied und erfolgte die Transaktion nicht im streitbetroffenen Geschäftsjahr 2007, son- dern erst 2009. Demnach kann keine Rede davon sein, die Pflichtige habe 2007 die gleichen Risiken wie eine Effektenhändlerin nach BEHG getragen, sodass ihr auch insofern die Bildung der fraglichen pauschalen Wertberichtigung verwehrt bleiben muss. e) Selbst wenn die Pflichtige als Effektenhändlerin im Sinn des BEHG gälte, könnte sie die pauschale Wertberichtigung gemäss Merkblatt – wie erwähnt – jeden- falls nicht auf der Beteiligung, sondern nur auf den als Umlaufvermögen bilanzierten Wertschriftenbestand von Fr. 4'749'621.- beanspruchen. f) Die Pflichtige behauptet sodann nicht, auf ihrem Wertschriftenbestand hät- ten sich im streitigen Geschäftsjahr 2007 konkrete Risiken verwirklicht, die zur Bildung einer entsprechenden (nicht pauschalen) Wertberichtigung berechtigten. Somit steht ihr auch diesbezüglich keine entsprechende Korrekturbuchung zu. g) Insgesamt erweist sich demnach die streitige pauschale Wertschwankungs- reserve als nicht geschäftsmässig begründet, was zur Bestätigung ihrer Aufrechnung beim steuerbaren Reingewinn und Eigenkapital durch die Vorinstanz führt.</w:t>
      </w:r>
    </w:p>
    <w:p>
      <w:r>
        <w:rPr>
          <w:b/>
        </w:rPr>
        <w:t>E. 3</w:t>
      </w:r>
    </w:p>
    <w:p>
      <w:r>
        <w:t>Aufgrund dieser Erwägungen sind die Rechtsmittel abzuweisen. Ausgangs- gemäss sind die Kosten des Verfahrens der Pflichtigen aufzuerlegen (Art. 144 Abs. 1 DBG und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