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DB.2010.110 vom 27. September 2011</w:t>
      </w:r>
    </w:p>
    <w:p>
      <w:r>
        <w:t>ZH Steuerrekursgericht, 2011-09-27, DE</w:t>
      </w:r>
    </w:p>
    <w:p>
      <w:r>
        <w:rPr>
          <w:b/>
        </w:rPr>
        <w:t xml:space="preserve">Quelle: </w:t>
      </w:r>
      <w:r>
        <w:t>https://mcp.opencaselaw.ch/entscheid/zh_steuerrekursgericht_DB.2010.110</w:t>
      </w:r>
    </w:p>
    <w:p>
      <w:r>
        <w:t>FR: ZH_STEUERREKURSGERICHT DB.2010.110 du 27 septembre 2011</w:t>
      </w:r>
    </w:p>
    <w:p>
      <w:r>
        <w:t>IT: ZH_STEUERREKURSGERICHT DB.2010.110 del 27 settembre 2011</w:t>
      </w:r>
    </w:p>
    <w:p>
      <w:pPr>
        <w:pStyle w:val="Heading2"/>
      </w:pPr>
      <w:r>
        <w:t>Regeste</w:t>
      </w:r>
    </w:p>
    <w:p>
      <w:r>
        <w:t>Veranlagungsverjährung. Die Durchführung einer Untersuchung nach Art. 190 ff. DBG durch die ESTV stellt eine Unterbrechungshandlung (Einleitung Strafverfolgung) dar. Beabsichtigt die kant. Steuerbehörde für offene Steuerperioden zudem, auf die Ergebnisse der Untersuchung abzustellen, liegt auch der Unterbrechungsgrund der auf Feststellung des Steueranspruchs gerichteten Amtshandlung vor. Wird eine Steuererklärung nach Ablauf der Mahnfrist eingereicht, so kann dennoch ohne weitere Untersuchung eine Einschätzung nach pflichtgem. Ermessen getroffen werden, sofern Unklarheiten im Sachverhalt bestehen. Die Höhe der Schätzung stützt sich auf die Annahme einer verdeckten Gewinnausschüttung aufgrund einer konkurrenzierenden Tätigkeit zu einer eigenen Gesellschaft. Aufgrund des Aktenstands und der fehlenden Substanziierung durch die Pflichtigen erweist sich diese Einschätzung nicht als offensichtlich unrichtig. Abweisung Gesuch um unentgeltliche Prozessführung und Bestellung eines unentgeltlichen Vertreters mangels Bedürftigkeit.</w:t>
      </w:r>
    </w:p>
    <w:p>
      <w:pPr>
        <w:pStyle w:val="Heading2"/>
      </w:pPr>
      <w:r>
        <w:t>Erwägungen</w:t>
      </w:r>
    </w:p>
    <w:p>
      <w:r>
        <w:rPr>
          <w:b/>
        </w:rPr>
        <w:t>E. 1</w:t>
      </w:r>
    </w:p>
    <w:p>
      <w:r>
        <w:t>ST.2010.154</w:t>
      </w:r>
    </w:p>
    <w:p>
      <w:r>
        <w:t>- 11 - Diesbezüglich machte der Pflichtige in der Einvernahme geltend, die Einzelfirma habe zwar jeweils in eigenem Namen an Dritte Rechnung gestellt, die Forderungen seien indessen immer an seine Gesellschaften abgetreten und die daraus fliessenden Ein- künfte bei Bezahlung in einer seiner Gesellschaften verbucht worden, sodass sie, die Einzelfirma, selber nie tätig gewesen sei. Die Untersuchungsbehörde stellte indessen in Bezug auf die vorangehenden Geschäftsjahre Unstimmigkeiten zwischen in Rech- nung gestellten und bei den Gesellschaften effektiv verbuchten Beträgen fest. Der Pflichtige erklärte diese Differenz damit, dass die fehlenden Rechnungen nicht akzep- tiert oder aus finanziellen Gründen nicht bezahlt worden seien. Offenkundig führte die gewählte Vorgehensweise dazu, dass gesamthaft betrachtet im Zusammenspiel zwi- schen dem Pflichtigen und seinen Gesellschaften die Buchhaltungen Lücken aufwei- sen. Im Übrigen ist anzumerken, dass eine Einzelfirma, welche in eigenem Namen Rechnungen stellt, eine Geschäftsaktivität aufweist, und hierüber eine Buchhaltung zu führen hat, auch wenn – wie die Pflichtigen geltend machen – die Zahlungen aufgrund einer "Abtretung" in den Gesellschaften des Pflichtigen buchhalterisch erfasst wurden. Der Pflichtige war 1999 zudem Präsident des Verwaltungsrats und Chief Executive Officer der an der NASDAQ kotierten F. Zudem erklärte er sich gegenüber Banken als wirtschaftlich Berechtigter von zahlreichen Bankkonten, welche auf diverse Gesellschaften lauteten (Formular A gemäss Art. 3 und 4 der Vereinbarung über die Standesregeln zur Sorgfaltspflicht der Banken, VSB). Irgendwelche Einkünfte aus die- ser Tätigkeit sowie Zinseinnahmen aus den Vermögenswerten wurden nicht deklariert. d) Zusammen mit der unerklärten Vermögensvermehrung erwies sich damit die erst nach Ablauf der Mahnfrist eingereichte Selbstdeklaration als unvollständig und verblieb eine erhebliche Ungewissheit. Da diese die finanziellen Verhältnisse insge- samt beschlug, ergingen die Ermessenseinschätzungen zu Recht global für das ge- samte Einkommen.</w:t>
      </w:r>
    </w:p>
    <w:p>
      <w:r>
        <w:rPr>
          <w:b/>
        </w:rPr>
        <w:t>E. 4</w:t>
      </w:r>
    </w:p>
    <w:p>
      <w:r>
        <w:t>a) Eine zu Recht ergangene Ermessensveranlagung kann der Steuerpflich- tige gemäss Art. 132 Abs. 3 DBG bzw. § 140 Abs. 2 StG nur wegen offensichtlicher Unrichtigkeit anfechten. Diese Normen enthalten eine Kognitionsbeschränkung der Prüfungsinstanzen, welche eine zu Recht getroffene Ermessensveranlagung nur auf- heben können, wenn sie sich als offensichtlich falsch erweist. Den entsprechenden 1 DB.2010.110 1 ST.2010.154</w:t>
      </w:r>
    </w:p>
    <w:p>
      <w:r>
        <w:t>- 12 - Nachweis kann der Steuerpflichtige auf zwei Arten erbringen (Zweifel, Art. 48 N 46 ff. StHG, auch zum Folgenden): aa) Er kann den tatsächlichen Sachverhalt dartun und den entsprechenden Nachweis leisten, mit der Folge, dass die Ermessensveranlagung durch eine ordentli- che Veranlagung ersetzt wird und die Steuerfaktoren nach den für "gewöhnliche" Ver- anlagungen geltenden Regeln ermittelt werden. Hierzu hat er innerhalb der Rechtsmit- telfrist die versäumten Verfahrenspflichten zu erfüllen, eine zur Beseitigung der Ungewissheit über die tatsächlichen Verhältnisse erforderliche substanziierte Sach- darstellung zu geben und hierfür notwendige Beweismittel beizubringen oder zumin- dest anzubieten (RB 1999 Nr. 150). Reicht der Steuerpflichtige die Steuererklärung erst mit der Einsprache ein, so hat er zusätzlich zu den Hilfsblättern und Fragebogen, die Bestandteile des amtlichen Steuererklärungsformulars bilden, noch weitere Beila- gen beizufügen (Richner/Frei/Kaufmann/Meuter, Art. 125 N 1 DBG und § 134 N 2 StG). Die geforderte Sachdarstellung darf sich nicht in blossen Behauptungen oder in vagen Andeutungen erschöpfen, sondern hat so beschaffen zu sein, dass sie den rechtser- heblichen Sachverhalt vollständig wiedergibt (BGr, 29. März 2005 = StE 2005 B 95.1 Nr. 9 = ASA 75, 329). Sie muss mit andern Worten hinreichend substanziiert sein. Dies ist sie dann, wenn sie all jene Tatsachenbehauptungen enthält, welche – ohne weitere Untersuchung, aber unter dem Vorbehalt der Beweiserhebung – die einwandfreie Er- mittlung der Steuerfaktoren erlauben (Zweifel/Casanova, Schweizerisches Steuerver- fahrensrecht, Direkte Steuern, 2008, S. 265 f.). Teilnachweise genügen grundsätzlich nicht; vielmehr hat der Nachweis umfassend zu sein (RB 1994 Nr. 45). Den Steuer- pflichtigen treffen beim Unrichtigkeitsnachweis unter Umständen höhere Anforderun- gen hinsichtlich der Mitwirkungspflichten, als sie vor der Säumnis an ihn gestellt wur- den (RB 1976 Nr. 55). bb) Ist die Nachholung der versäumten Handlung nicht möglich oder misslingt sie, kann der Steuerpflichtige noch darlegen und nachweisen, dass die angefochtene Veranlagung offensichtlich unrichtig ist. Als offensichtlich unrichtig erweist sich eine Schätzung dann, wenn sie sachlich nicht begründbar (z.B. erkennbar pönal oder fiska- lisch begründet) ist, sich auf sachwidrige Schätzungsgrundlagen, -methoden oder –hilfsmittel stützt oder sonst wie mit den konkreten aktenkundigen Verhältnissen auf- grund der Lebenserfahrung vernünftigerweise nicht vereinbar ist (Zweifel, Art. 48 N 59 StHG, mit Hinweisen). Leistet er diesen Nachweis, bleibt es zwar bei einer Ermessens- veranlagung, doch wird die angefochtene durch eine neue (tiefere) Schätzung der 1 DB.2010.110 1 ST.2010.154</w:t>
      </w:r>
    </w:p>
    <w:p>
      <w:r>
        <w:t>- 13 - Rechtsmittelinstanz ersetzt (vgl. RB 1994 Nr. 45 mit Hinweisen; Richner/Frei/Kauf- mann/Meuter, Art. 132 N 67 DBG und § 140 N 79 f. StG; Martin Zweifel, in: Kommentar zum Schweizerischen Steuerrecht, Band I/2b, 2. A., 2008, Art. 132 N 51 f. DBG und Art. 48 N 58 ff. StHG). cc) Dem Steuerrekursgericht sind weitere Untersuchungen verwehrt. Es hat bei der Überprüfung des angefochtenen Entscheids auf offensichtliche Unrichtigkeit hin nur jene im Zeitpunkt der Entscheidfällung vorhandenen Schriftstücke zu berücksichti- gen, welche den behaupteten Sachverhalt sofort beweisen oder zumindest als sehr wahrscheinlich erscheinen lassen (VGr, 27. Mai 1986, SB 10/1986 und 11. September 1986, SB 38/1986; Martin Zweifel, Die Sachverhaltsermittlung im Steuerveranlagungs- verfahren, 1989, S. 144). b) Die Pflichtigen erhoben am 17. November 2009 Einsprache und legten eine neue Steuererklärung 1999 B bei. Darin deklarierten sie ein steuerbares Einkommen von Fr. 75'606.- (Staats- und Gemeindesteuern) bzw. Fr. 74'706.- (direkte Bundes- steuer). Das deklarierte Vermögen gaben sie neu mit Fr. 1'093'471.- (steuerbar) bzw. Fr. 1'105'971.- (satzbestimmend) an. Bezüglich des Vermögens bestehen die Hauptunterschiede zur bereits im Einschätzungsverfahren eingereichten Steuererklärung 1999 B darin, dass neu das erwähnte Bankkonto bzw. Depot bei der G Bank von Fr. 212'297.- (= Fr. 8'746.- + Fr. 203'551.-) deklariert wird. Wesentlich ist aber, dass die Schulden neu auf Fr. 1'637'515.- (statt Fr. 3'391'539.-) lauten. Nicht mehr aufgeführt sind Schulden bei der H von Fr. 992'857.- sowie "I" von Fr. 751'000.-). Damit ist aber die Vermögensent- wicklung im Vergleich zum Endstand der vorangehenden Steuerperiode in keiner Wei- se erklärt, beträgt die Vermögenszunahme doch nunmehr gar Fr. 1'809'137.- (von Fr. - 703'166.- auf Fr. 1'105'971.-) statt nur Fr. 164'153.-. An diesem Schluss ändert nichts, wenn zugunsten der Pflichtigen auch im Vorjahr die im Nachhinein zum Vorschein ge- kommenen Werte bei der Bank G nachgeführt werden (per 31. Dezember 1998 Fr. 9'954.- ./. Fr. 289.- + Fr. 179'126.- = Fr. 188'791.-). Der massive Vermögenssprung lässt nicht erklären. Damit ist die Unklarheit mit der Einsprache nicht beseitigt worden und hatte die Ermessenseinschätzung weiterhin Bestand. c) Mit dem Rekurs bzw. der Beschwerde ergänzten die Pflichtigen ihre Anga- be insoweit, als sie das Darlehen I von Fr. 751'000.- wieder anführten und erklärten, 1 DB.2010.110 1 ST.2010.154</w:t>
      </w:r>
    </w:p>
    <w:p>
      <w:r>
        <w:t>- 14 - dieses sei in der Einsprache nur versehentlich nicht mehr deklariert worden. Das Dar- lehen H sei aufgrund des Berichts der ASU nicht mehr deklariert worden, sei es doch im Bericht als simuliert beurteilt worden. Demnach ist es aber auch im Vermögens- stand per 31. Dezember 1998 zu streichen. Dies ergibt folgende Vermögenswerte: 31. Dezember 1998 31. Dezember 1999 Fr. Fr. Gemäss Deklaration - 703'166.- 1'105'971.- simulierte Schuld H 992'857.- Schuld I - 751'000.- G 188'791.- _________ total 478'482.- 354'971.-. Daraus ergibt sich nunmehr sogar eine Vermögensabnahme. Untersucht man die Hintergründe, so fällt indessen auf, dass die Beteiligungen (D AG, J AG, K AG) im Vergleich zur ursprünglichen Steuererklärung 1999 B neu zu einem niedrigeren Wert eingesetzt wurden (neu total Fr. 197'057.- statt Fr. 490'000.-; per 31. Dezember 1998 noch Fr. 505'000.-). Scheidet man den (nicht liquiditätswirksamen) Wertverlust auf den Beteiligungen aus der Betrachtung aus, ergibt sich aber wiederum eine erhebliche Zu- nahme des Vermögens um rund Fr. 170'000.-, welche sich mit den deklarierten Ein- künften wiederum nicht erklären lässt. Zudem fehlt weiterhin ein Jahresabschluss bezüglich der selbstständigen Er- werbstätigkeit des Pflichtigen. Wie bereits ausgeführt, hat die Einzelfirma Rechnungen gestellt und damit eine Aktivität entwickelt; darüber hätte sie Buch oder zumindest Auf- zeichnungen führen müssen. Die "Abtretung" der Forderungen, soweit sie denn auch bezahlt worden sind, ändert daran nichts. d) Die aufgezeigten Unklarheiten bestehen damit auch im vorliegenden Ver- fahren weiter fort, sodass die versäumte Handlung nicht korrekt nachgeholt wurde. Damit haben die Ermessenseinschätzungen weiterhin Bestand und unterliegen sie lediglich in Bezug auf ihre Höhe einer auf offensichtliche Unrichtigkeit beschränkten Überprüfung. 1 DB.2010.110 1 ST.2010.154</w:t>
      </w:r>
    </w:p>
    <w:p>
      <w:r>
        <w:t>- 15 -</w:t>
      </w:r>
    </w:p>
    <w:p>
      <w:r>
        <w:rPr>
          <w:b/>
        </w:rPr>
        <w:t>E. 5</w:t>
      </w:r>
    </w:p>
    <w:p>
      <w:r>
        <w:t>a) Das kantonale Steueramt schätzte das steuerbare Einkommen auf Fr. X. Zur Begründung verwies es auf Geschäftsberichte zu den Quartalsabschlüssen aus den Jahren 1999 und 2000, welche auf der Internetseite der SEC publiziert worden waren, und gemäss welchen der Pflichtige u.a. Mehrheitsaktionär und Präsident des Verwaltungsrats sowie ab 1998 Geschäftsführer der an der NASDAQ kotierten F Inc, in M war. Demnach schloss er am 9. August 1999 einen Vertrag ab über den Verkauf eines Aktienanteils von 51% an der N AG an die F für einen Preis von 1'750'000 Aktien der F sowie USD 790'000.- und weiteren 350'000 F-Aktien, falls die N in der Folge ein bestimmtes Ertragsziel erreicht; Vertragstext vgl. Kopien aus Einschätzungsakten D AG. Der Vertrag wurde laut den Geschäftsberichten am 15. November 1999 vollzogen. Das kantonale Steueramt rechnete dem Pflichtigen den Erlös als Einkunft auf; zu den rechtlichen Hintergründen macht es keine Ausführungen. Aus dem den Pflichtigen be- kannten Bericht ASU geht indessen hervor, dass sie die Beteiligung N der H zuordnet (Bericht ASU S. 50). Aus dem Parallelfall betreffend die D AG musste den Pflichtigen sodann bekannt sein, dass der Aufrechnung die Annahme zugrunde liegt, der Pflichtige konkurrenziere mit dem Verkauf der N seine Gesellschaften und die Aufrechnung be- ruhe letztlich auf der Qualifikation als verdeckte Gewinnausschüttung. Entsprechend äusserten sie sich auch in der Eingabe vom 13. November 2008 zum Problemkreis (Stellungnahme zu den Berichten ASU). b) aa) Als Ertrag aus beweglichem Vermögen steuerbar sind insbesondere Dividenden, Gewinnanteile, Liquidationsüberschüsse und geldwerte Vorteile aus Betei- ligungen aller Art (Art. 20 Abs. 1 lit. c DBG; § 20 Abs. 1 lit. c StG). Zu den geldwerten Vorteilen zählen u.a. auch die verdeckten Gewinnausschüttungen. Es handelt sich da- bei um Leistungen der Gesellschaft an den Inhaber von Beteiligungsrechten, denen keine oder keine genügenden Gegenleistungen gegenüberstehen und die einem an der Gesellschaft nicht beteiligten Dritten nicht oder bloss in wesentlich geringerem Um- fang erbracht worden wären (BGr, 13. Dezember 1996, ASA 66, 554). Um zu eruieren, ob eine verdeckte Gewinnausschüttung vorliegt, ist ein Drittvergleich anzustellen. Bei diesem sind alle konkreten Umstände des zwischen der Gesellschaft und dem Anteils- eigner abgeschlossenen Geschäfts zu berücksichtigen. Davon ausgehend muss so- dann bestimmt werden, ob das Geschäft in gleicher Weise mit einem mit der Gesell- schaft nicht Verbundenen auch abgeschlossen worden wäre (BGr, 13. August 2003, 2P.129/2003 mit Hinweisen). 1 DB.2010.110 1 ST.2010.154</w:t>
      </w:r>
    </w:p>
    <w:p>
      <w:r>
        <w:t>- 16 - Natürliche Personen können für eine Aktiengesellschaft insbesondere auf- grund eines Arbeitsvertrags, als Handlungsbevollmächtigte, Prokuristen, Direktoren oder Mitglieder des Verwaltungsrats tätig sein. In allen diesen Funktionen besteht eine Treuepflicht gegenüber der Gesellschaft (ASA 67, 217 E. 2/b/aa = StE 1998 B 72.13.22 Nr. 37, auch zum Folgenden). Der Arbeitnehmer hat die berechtigten Interes- sen des Arbeitgebers in guten Treuen zu wahren (Art. 321a Abs. 1 OR). Er hat sich damit während der Dauer des Arbeitsvertrags Tätigkeiten zu enthalten, die den Arbeit- geber konkurrenzieren (Art. 321a Abs. 3 OR). Er hat diesen zudem über alles, was er bei seiner vertraglichen Tätigkeit von Dritten erhält, wie namentlich Geldbeträge, Re- chenschaft abzulegen und ihm alles sofort herauszugeben (Art. 321b Abs. 1 OR). Auch der Prokurist sowie der Handlungsbevollmächtigte, der zum Betrieb eines ganzen Ge- werbes bestellt ist oder in einem Arbeitsverhältnis zum Inhaber des Gewerbes steht, darf ohne Einwilligung des Geschäftsherrn weder für die eigene Rechnung noch für die Rechnung eines Dritten Geschäfte machen, die zu den Geschäftszweigen des Ge- schäftsherren gehören (Art. 464 Abs. 1 OR). Schliesslich besteht auch für die Mitglie- der des Verwaltungsrats einer Aktiengesellschaft eine Treuepflicht (Art. 717 Abs. 1 OR). In allen diesen Funktionen hat sich die natürliche Person von Gesetzes wegen Tätigkeiten zu enthalten, welche die Aktiengesellschaft konkurrenzieren. Es ist davon auszugehen, dass eine Aktiengesellschaft, die wirtschaftliche Zwecke verfolgt, ihren Arbeitnehmern, Prokuristen, Handlungsbevollmächtigten, Direk- toren oder Mitgliedern des Verwaltungsrats die Ausübung konkurrenzierender Tätigkei- ten im Allgemeinen nicht gestattet. Erlaubt sie es ihnen dennoch bzw. verzichtet sie darauf, von ihnen Gewinne aus Geschäften, die ihrer Natur nach der Gesellschaft zu- kommen, heraus zu verlangen, erbringt sie ihnen eine geldwerte Leistung, wenn der dadurch bewirkte Verzicht im Beteiligungsverhältnis begründet ist. Das ist namentlich bei einem geschäftsführenden Allein- oder Hauptaktionär zu bejahen, der einzelne in den Geschäftsbereich der Gesellschaft fallende Geschäfte auf eigene Rechnung ab- schliesst, ist doch davon auszugehen, dass die Gesellschaft eine solche zu einer Ge- winnvorwegnahme führende Tätigkeit einem Angestellten, der an ihr keine Anteilsrech- te hat, nicht gestatten würde. In der Gerichtspraxis wurde eine solche Konkurrenzierung bejaht im Fall eines Geschäftsführers/Alleinaktionärs, welcher neben seiner Treuhandgesellschaft ebenfalls als Selbstständigerwerbender im Immobilienhandel tätig war und daraus Provisionen bezog, wobei die Vermittlungstätigkeit während der Arbeitszeit und unter Inanspruch- 1 DB.2010.110 1 ST.2010.154</w:t>
      </w:r>
    </w:p>
    <w:p>
      <w:r>
        <w:t>- 17 - nahme der Infrastruktur der Gesellschaft stattfand (ASA 67, 217 = StE 1998 B 72.13.22 Nr. 37). In einem Entscheid des Verwaltungsgerichts des Kantons Schwyz vom 26. April 2007 (StE 2007 B 72.13.22 Nr. 48) wurde ebenfalls eine solche Konkurrenzie- rung angenommen; dabei fiel insbesondere ins Gewicht, dass der Alleinaktionär und vollamtlich für eine Gesellschaft tätige Verwaltungsratspräsident in eigenem Namen Provisions-Erträge von einer Kundin der eigenen Gesellschaft erzielte; bei dieser machten die von derselben Kundin einvernahmten Provisionen rund einen Viertel des Umsatzes aus. Dabei hielt das Verwaltungsgericht fest, dass in bestimmten Fällen un- abhängig von der Frage, ob zivilrechtlich tatsächlich eine arbeits- oder gesellschafts- rechtliche Konkurrenzklausel verletzt wurde, bereits steuerrechtlich ein Verstoss gegen das "Dealing at arms's leangth"-Prinzip vorliegen könne. Die Rechtsprechung wurde zuletzt mit BGr, 1. September 2009, 2C_265/2009 im Grundsatz bestätigt. bb) Zu den weiteren von A beherrschten Gesellschaften gehört auch die H (Bericht ASU S. 17 f.9; daneben existierte noch eine O). Nach den Feststellungen der ASU war er Gründungsmitglied und nahezu Alleinaktionär dieser Gesellschaft. In der Folge ist er jeweils für die H aufgetreten. In der mit der Einsprache eingereichten Steu- ererklärung 1999 B hat er eine Beteiligung an der H im Wertschriftenverzeichnis dekla- riert. Bei dieser Sachlage ist zu schliessen, dass er diese beherrschte, auch wenn er dies in der persönlichen Befragung durch die ASU noch abstritt. Der Bericht ASU be- schreibt die Geschäftstätigkeit der H. Demnach vermittelte sie Finanzierungen für die Aufrechterhaltung der Geschäftstätigkeit neu gegründeter Unternehmen und beriet diese im Hinblick auf einen Börsengang an der NASDAQ; ein wesentlicher Anteil ihrer Tätigkeit bestand aber auch darin, Aktien von Unternehmen auf eigene Rechnung zu erwerben und bei privaten und institutionellen Investoren zu platzieren ("placing agent"; vgl. Korrespondenz). Eine solche Platzierungstätigkeit betrieb sie auch für die F (Be- richt ASU S. 39), indem sie 1996 rund 3'275'000 Aktien der F zu einem Preis von USD 4'500'000.- erwarb und in der Folge weiterverkaufte. Gemäss den SEC-Berichten war sie auch in der per 31. März 1999 endenden Berichtsperiode für die F als "placing agent" tätig, und zwar bezüglich 408'036 Aktien, wofür sie eine Kommission von 3% erhielt, "Item 12" Abschnitt 3). Bei der Transaktion N vom 15. November 1999 erhielt A den Berichten zufol- ge als Gegenleistung neben USD 790'000.- rund 1'750'000 Aktien der F). Diese dekla- rierte er nicht im privaten Vermögen; der Verbleib dieser Aktien ist ungeklärt, indessen liegen Anhaltspunkte für eine Weiterveräusserung vor (Bericht ASU S. 49 f.). Damit trat 1 DB.2010.110 1 ST.2010.154</w:t>
      </w:r>
    </w:p>
    <w:p>
      <w:r>
        <w:t>- 18 - er aber als Vermittler von Aktien der F in Erscheinung, und konkurrenzierte er die Tä- tigkeit der H unmittelbar, denn es ist auszuschliessen, dass eine Gesellschaft, welche über mehrere Jahre für eine bestimmte Kundin als "placing agent" auftrat, es einem Angestellten erlauben würde, parallel zu ihr von derselben Kundin ebenfalls ein gros- ses Aktienpaket zu erwerben und wieder zu verkaufen. Mit Bezug auf das Verhältnis H und A ist deshalb eine Verletzung des Grundsatzes des "dealing at arm's length" fest- zustellen, welche nur mit der beherrschenden Stellung von A erklärt werden kann. Das kantonale Steueramt übernahm die Berechnung des Verkaufserlöses aus dem Bericht ASU. Dabei stützte es sich auf die Angaben aus den SEC-Berichten (Be- richt ASU S. 50 unten). Gemäss diesem lag der Kurs der F-Aktie im Zeitpunkt der Transaktion bei USD 3.-. Insgesamt hat der Pflichtige 1'750'0000 F-Aktien sowie USD 790'000.- erhalten; dies ergibt – unter Abzug des Einstandspreises der N von Fr. 51'000.- und bei einem damaligen Devisenkurs von Fr. 1.50 pro USD – insgesamt einen Erlös von Fr. 9'009'000.-. Diese Berechnung entspricht der Aktenlage und ist zu bestätigen. c) Die Einwände der Pflichtigen gegen diese Feststellungen dringen nicht durch: aa) Die Pflichtigen bestreiten die Beweiskraft der auf der Internetseite der NASDAQ publizierten SEC-Berichte. Sie verkennen indessen, dass die Argumentation der Steuerbehörden nicht auf einer besonderen Beweiskraft derselben beruht, sondern darauf, dass sie von der F überhaupt offiziell in das Netz gestellt wurden und der Pflichtige zum Zeitpunkt ihrer Publikation ja CEO und Verwaltungsratspräsident der F war. Zudem bestehen weitere Dokumente, welche diese Transaktion betreffen und damit bestätigen, dass sie stattgefunden hat (Korrespondenz und Memorandum U vom</w:t>
      </w:r>
    </w:p>
    <w:p>
      <w:r>
        <w:rPr>
          <w:b/>
        </w:rPr>
        <w:t>E. 8</w:t>
      </w:r>
    </w:p>
    <w:p>
      <w:r>
        <w:t>Gestützt auf diese Erwägungen sind Beschwerde und Rekurs abzuweisen. Ausgangsgemäss sind die Verfahrenskosten den Pflichtigen aufzuerlegen (Art. 144 Abs. 1 DBG und § 151 Abs. 1 StG). Die Zusprechung der beantragten Parteientschä- digung an die Pflichtigen kommt bei diesem Ausgang nicht in Betracht (Art. 144 Abs. 4 DBG i.V.m. Art. 64 Abs. 1 des Bundesgesetzes über das Verwaltungsverfahren vom 20. Dezember 1968 bzw. § 152 StG i. V. m.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