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AU.2010.1 vom 9. Dezember 2009</w:t>
      </w:r>
    </w:p>
    <w:p>
      <w:r>
        <w:t>ZH Steuerrekursgericht, 2009-12-09, DE</w:t>
      </w:r>
    </w:p>
    <w:p>
      <w:r>
        <w:rPr>
          <w:b/>
        </w:rPr>
        <w:t xml:space="preserve">Quelle: </w:t>
      </w:r>
      <w:r>
        <w:t>https://mcp.opencaselaw.ch/entscheid/zh_steuerrekursgericht_AU.2010.1</w:t>
      </w:r>
    </w:p>
    <w:p>
      <w:r>
        <w:t>FR: ZH_STEUERREKURSGERICHT AU.2010.1 du 9 décembre 2009</w:t>
      </w:r>
    </w:p>
    <w:p>
      <w:r>
        <w:t>IT: ZH_STEUERREKURSGERICHT AU.2010.1 del 9 dicembre 2009</w:t>
      </w:r>
    </w:p>
    <w:p>
      <w:pPr>
        <w:pStyle w:val="Heading2"/>
      </w:pPr>
      <w:r>
        <w:t>Regeste</w:t>
      </w:r>
    </w:p>
    <w:p>
      <w:r>
        <w:t>Ausstandspflicht einer Revisorin des kantonalen Steueramts und ihres Vorgesetzten aufgrund eines behaupteten Anscheins der Befangenheit hier verneint. Selbst allfällige Mängel bei der Ermittlung des massgebenden Sachverhalts lassen einen Revisor (oder Steuerkommissär) grundsätzlich nicht als befangen erscheinen.</w:t>
      </w:r>
    </w:p>
    <w:p>
      <w:pPr>
        <w:pStyle w:val="Heading2"/>
      </w:pPr>
      <w:r>
        <w:t>Erwägungen</w:t>
      </w:r>
    </w:p>
    <w:p>
      <w:r>
        <w:rPr>
          <w:b/>
        </w:rPr>
        <w:t>E. 3</w:t>
      </w:r>
    </w:p>
    <w:p>
      <w:r>
        <w:t>AU.2010.1</w:t>
      </w:r>
    </w:p>
    <w:p>
      <w:r>
        <w:t>- 5 - zu den Akten genommen werden. Weil die Revisorin dem Rekurrenten unzulässige Fragen gestellt habe, was aus dem Protokoll vom 15. Februar 2008 nicht hervorgehe, müssten ihre Handnotizen und ihr Laptop sichergestellt werden. Eine zunächst vorge- sehene Aufrechnung im Umfang von rund 1 Mio. Franken habe die Revisorin nach Intervention von C fallengelassen, weil es sich bei den gewonnenen Erkenntnissen um eine rechtswidrige "Fishing Expedition" gehandelt habe. Mit ihrem Verhalten habe die Revisorin verschiedene – näher bezeichnete – Straftatbestände erfüllt, die überdies eine Staatshaftung des Kantons Zürich begründeten.</w:t>
      </w:r>
    </w:p>
    <w:p>
      <w:r>
        <w:rPr>
          <w:b/>
        </w:rPr>
        <w:t>E. 4</w:t>
      </w:r>
    </w:p>
    <w:p>
      <w:r>
        <w:t>a) Laut § 5 Abs. 3 des Verwaltungsrechtspflegegesetzes vom 24. Mai 1959/8. Juni 1997 (VRG), das mangels einer eigenständigen Regelung im Steuerver- fahrensrecht analog zum Zug kommt, werden unleserliche, ungebührliche und über- mässig weitschweifige Eingaben zur Verbesserung zurückgewiesen. Die Rekursschrift vom 23. März 2009 ist teilweise weitschweifig und enthält Passagen, welche den pro- zessualen Anstand verletzen. Im Interesse einer beförderlichen Verfahrenserledigung ist jedoch davon abzusehen, den Rekurrenten zu einer Verbesserung der Rechtsschrift aufzufordern. b) Die Verfügung der Finanzdirektion vom 13. Februar 2009 ist im Original von der Direktionsvorsteherin, F, unterzeichnet. Die dem Rekurrenten zugestellte Fassung trägt die Unterschrift des juristischen Sekretärs lic.iur. D, der "die Richtigkeit der Aus- fertigung" bescheinigt. Ein Verfahrensfehler ist in diesem Vorgehen nicht zu erblicken. Entgegen dem Einwand des Rekurrenten hat der genannte juristische Sekretär nicht selbstständig entschieden, sondern lediglich die entsprechende Anordnung durch die Direktionsvorsteherin bescheinigt. c) Das kantonale Recht enthält weder in § 119 StG noch in § 5a VRG nähere Verfahrensvorschriften zum Ausstandsverfahren; vielmehr beschränken sich diese Bestimmungen auf die Festlegung der zur Beurteilung des Ausstandsbegehrens zu- ständigen Instanz. Das Gesagte gilt auch nach Art. 109 des Bundesgesetzes über die direkte Bundessteuer vom 14. Dezember 1990. Dass der von einem Ausstandsbegeh- ren betroffene Vollzugsbeamte oder Richter hierzu angehört wird, versteht sich von selbst; denn die gesetzliche Zuständigkeitsordnung und der Einsatz einer mit dem Ge- setzesvollzug betrauten Person sollen nicht durch haltlose Ausstandsbegehren geän- dert bzw. eingeschränkt werden. Nachdem der Rekurrent am 10. November 2008 ein 3 AU.2010.1</w:t>
      </w:r>
    </w:p>
    <w:p>
      <w:r>
        <w:t>- 6 - Ausstandsbegehren gegen B und C gestellt hatte, wurde letzterer von der Finanzdirek- tion am 12. November 2008 zu einer Stellungnahme eingeladen. Dieser holte bei B und deren Teamleiter E einen Bericht vom 17. November 2008 ein und leitete diesen – zusammen mit der eigenen Beurteilung, wonach das Ausstandsbegehren unbegrün- det sei – an die Finanzdirektion weiter. Mit dieser Stellungnahme sind die Rekursgeg- ner hinreichend angehört worden. d) Der Vorwurf des Rekurrenten, dass die Rekursgegner den massgebenden Sachverhalt unrichtig festgestellt hätten, vermöchte nach E. 2 nur in krassen Fällen auf Befangenheit zu schliessen. In einem Einschätzungsverfahren besteht ein weites Er- messen, in welchem Umfang Besprechungen zwischen dem Steueramt und einem Steuerpflichtigen protokolliert werden. Angebliche Mängel bei der Feststellung des rechtserheblichen Sachverhalts begründen in aller Regel keine Befangenheit. Im Übri- gen liegt vorliegend noch keine Einschätzung vor, die auf einer unrichtigen Sachver- haltsermittlung beruhen könnte. Der Umstand, dass die Rekursgegner im korrigierten Einschätzungsvorschlag vom 26. Juni 2008 Aufrechnungen fallen liessen, nachdem sie diese als verfahrensrechtlich unzulässig anerkannt hatten, spricht vielmehr für ihre Un- befangenheit. e) Es ist nicht Sache der Steuerrekurskommission III, das Verhalten der Re- kursgegner in strafrechtlicher Hinsicht zu würdigen. Die Vorbringen des Rekurrenten in diesem Zusammenhang enthalten keine weiteren Tatsachen, die auf Befangenheit der Rekursgegner hindeuten würden. f) Zusammenfassend lässt sich weder nach den Vorbringen des Rekurrenten noch aufgrund der Akten sagen, dass mit Bezug auf die Revisorin B der Anschein der Befangenheit besteht und sie deshalb hätte in den Ausstand treten müssen. Ebenso wenig gilt das Gesagte hinsichtlich ihres Vorgesetzten C oder des Teamleiters E. Unter diesen Umständen spielt es keine Rolle, ob zwischen B und dem leitenden Steuer- kommissär F eine verwandtschaftliche oder sonstige Beziehung besteht. Ebenso wenig ist das Verhältnis zwischen dem zuständigen Steuerkommissär G und E, dem Teamlei- ter und direkten Vorgesetzen von B, von Belang. Der Rekurs ist daher abzuweisen. 3 AU.2010.1</w:t>
      </w:r>
    </w:p>
    <w:p>
      <w:r>
        <w:t>- 7 -</w:t>
      </w:r>
    </w:p>
    <w:p>
      <w:r>
        <w:rPr>
          <w:b/>
        </w:rPr>
        <w:t>E. 5</w:t>
      </w:r>
    </w:p>
    <w:p>
      <w:r>
        <w:t>Bei diesem Ausgang des Verfahrens wird der Rekurrent kostenpflichtig (§ 151 Abs. 1 StG) und muss ihm eine Parteientschädigung versagt bleiben (§ 152 StG i.V.m.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