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ZL.2024.00101 vom 5. Dezember 2025</w:t>
      </w:r>
    </w:p>
    <w:p>
      <w:r>
        <w:t>ZH Sozialversicherungsgericht, 2025-12-05, DE</w:t>
      </w:r>
    </w:p>
    <w:p>
      <w:r>
        <w:rPr>
          <w:b/>
        </w:rPr>
        <w:t xml:space="preserve">Quelle: </w:t>
      </w:r>
      <w:r>
        <w:t>https://mcp.opencaselaw.ch/entscheid/zh_sozialversicherungsgericht_ZL.2024.00101</w:t>
      </w:r>
    </w:p>
    <w:p>
      <w:r>
        <w:t>FR: ZH_SOZIALVERSICHERUNGSGERICHT ZL.2024.00101 du 5 décembre 2025</w:t>
      </w:r>
    </w:p>
    <w:p>
      <w:r>
        <w:t>IT: ZH_SOZIALVERSICHERUNGSGERICHT ZL.2024.00101 del 5 dicembre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 Art. 25 Abs. 1 des Bundesgesetzes über den Allgemeinen Teil des Sozialver sicherungsrechts (ATSG) sind unrechtmässig bezogene Leistungen zurückzu erstatten. Wer Leistungen in gutem Glauben empfangen hat, muss sie nicht zurücker statten, wenn eine grosse Härte vorliegt. Dabei wird die Rückerstattung ganz oder teilweise erlassen (Art. 4 Abs. 1 der Verordnung über den Allgemeinen Teil des Sozialversicherungsrechts, ATSV). 1. 3</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 setzung entfällt somit einerseits von vornherein, wenn die zu Unrecht erfolgte Leistungsausrichtung auf eine arglistige oder grobfahrlässige Melde- oder Aus-kunfts pflichtverletzung zurückzuführen ist . Anderseits kann sich die rücker stattungs pflichtige Person auf den guten Glauben berufen, wenn ihr fehlerhaftes Verhalten nur leicht fahrlässig war (BGE 138 V 218 E. 4, 112 V 97 E. 2c).</w:t>
      </w:r>
    </w:p>
    <w:p>
      <w:r>
        <w:t>Wie in anderen Bereichen beurteilt sich das Mass der erforderlichen Sorgfalt nach einem objektiven Massstab, wobei aber das den Betroffenen in ihrer Subjektivität Mögliche und Zumutbare (wie etwa Urteilsfähigkeit, Gesundheitszustand, Bil dungsgrad) nicht ausgeblendet werden darf (BGE 138 V 218 E. 4 m.w.H .; Urteil des Bundesgerichts 8C_448/2017 vom 3. Januar 2018 E. 2.1). Das Verhalten, das den guten Glauben ausschliesst, braucht nicht in einer Melde- oder Anzeige pflichtverletzung zu bestehen. Auch ein anderes Verhalten, beispielsweise die Unter lassung, sich bei der Verwaltung zu erkundigen, fällt in Betracht (Urteil des Bundesgerichts 8C_102/2020 vom 1. Mai 2020 E. 4.1 m.w.H .). 1.</w:t>
      </w:r>
    </w:p>
    <w:p>
      <w:r>
        <w:rPr>
          <w:b/>
        </w:rPr>
        <w:t>E. 1.3</w:t>
      </w:r>
    </w:p>
    <w:p>
      <w:r>
        <w:t>Im Formular zur periodischen Überprüfung vom 18. Dezember 2023 gaben die Versicherten an, Renten der beruflichen Vorsorge der B.___ AG von Fr. 2 ’ 246.-- beziehungsweise Fr. 895.-- pro Jahr zu erhalten (Urk. 8/21 Ziff. 8.3).</w:t>
      </w:r>
    </w:p>
    <w:p>
      <w:r>
        <w:t>Mit Verfügung vom 8. Februar 2024 (Urk. 8/10) berechnete die Durchführungs stelle den Anspruch auf Zusatzleistungen ab März 2022 neu unter Berücksich tigung der durch die B.___ AG an X.___ ausgerichteten Leibrenten in Höhe von jährlich Fr. 2'246 .-- (Urk. 8/40) sowie Fr. 895.-- (Urk. 8/41). Daraus resultierte eine Rückerstattungsforderung in der Höhe von Fr. 5'931.50 (Urk. 8/10 S. 2). Mit Rückerstattungsverfügung vom 8. Februar 2024 (Urk. 8/11) verpflich tete die Durchführungsstelle die Versicherten zur Rückerstattung von Fr. 5'931.50 für im Zeitraum von März 2022 bis Februar 2024 zu viel ausbezahlte Zusatzleis tungen. Die Rückerstattung wurde dergestalt geltend gemacht, dass die von der SVA zu viel bezahlten Prämienverbilligungen in Höhe von Fr. 5'931.50 über die Krankenkasse zurückzufordern sei en . Die Verfügung vom 8. Februar 2024 erwuchs unangefochten in Rechtskraft.</w:t>
      </w:r>
    </w:p>
    <w:p>
      <w:r>
        <w:rPr>
          <w:b/>
        </w:rPr>
        <w:t>E. 1.4</w:t>
      </w:r>
    </w:p>
    <w:p>
      <w:r>
        <w:t>Am 1. Juni 2024 ersuchten die Versicherten bei der Durchführungsstelle um voll ständigen Erlass der Rückerstattung (Urk. 8/14.2). Mit Verfügung vom 19. Juni 2024 wies die Durchführungsstelle das Erlassgesuch ab (Urk. 8/14.4). Die von den Versicherten am 31. Juli 2024 erhobene Einsprache (Urk. 8/17.1) wies die Durchführungs stelle mit Einspracheentscheid vom 5. September 2024 ab (Urk. 8/17.3 = Urk. 2). 2.</w:t>
      </w:r>
    </w:p>
    <w:p>
      <w:r>
        <w:t>D ie Versicherte n erhob en am</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Romero-KäserBoller</w:t>
      </w:r>
    </w:p>
    <w:p>
      <w:r>
        <w:rPr>
          <w:b/>
        </w:rPr>
        <w:t>E. 4.4</w:t>
      </w:r>
    </w:p>
    <w:p>
      <w:r>
        <w:t>). 3.4</w:t>
      </w:r>
    </w:p>
    <w:p>
      <w:r>
        <w:t>Schliesslich vermag auch das Vorbringen der Beschwerdeführenden nicht zu ver fangen, wonach von einer Amtsstelle korrekte und professionelle Berechnungen erwartet werden könnten (vorstehend E. 2.3). Rückforderungen nach Art. 25 ATSG gehen regelmässig auf Fehler der Verwaltung zurück, was jedoch an der Rückerstattungspflicht nichts ändert (Müller, Rechtsprechung des Bundesgerichts zum ELG, 3. Auflage 2015, Rz . 8 zu Art. 25 ATSG) und für sich allein noch keinen guten Glauben der Versicherten begründet. D ass der Verwaltung im Rahmen der Massenverwaltung vereinzelt Fehler unterlaufen, ist kaum vermeidbar und unter mauert gerade die Sorgfaltspflicht der einzelnen Leistungsempfänger namentlich mit Bezug auf klar ersichtliche und leicht verständliche Berechnungselemente (Urteil des Bundesgerichts 9C_605/2010 vom 18. Oktober 2010 E. 3.4). Vorlie gend gilt dies umso mehr, als die Beschwerdeführenden im Anmeldeformular vom 12. März 2022 die Frage nach Einnahmen aus Leibrenten verneint en (vgl. Sach verhalt Ziff. 1.1) und</w:t>
      </w:r>
    </w:p>
    <w:p>
      <w:r>
        <w:t>d amit zum Fehler der Verwaltung beigetragen haben dürf ten .</w:t>
      </w:r>
    </w:p>
    <w:p>
      <w:r>
        <w:t>Auf den guten Glauben können sie sich mangels genügend sorgfältiger Prüfung der Berechnungsgrundlagen jedenfalls nicht berufen (vgl. auch E. 3.2–3). 3.5</w:t>
      </w:r>
    </w:p>
    <w:p>
      <w:r>
        <w:t>Offen bleiben kann demnach das Vorliegen einer grossen Härte .</w:t>
      </w:r>
    </w:p>
    <w:p>
      <w:r>
        <w:t>Der angefochtene Einspracheentscheid erweist sich somit als rechtens. Dies führt zur Abweisung der Beschwerde . Die Einzelrichterin erkennt: 1.</w:t>
      </w:r>
    </w:p>
    <w:p>
      <w:r>
        <w:t>Die Beschwerde wird abgewiesen. 2.</w:t>
      </w:r>
    </w:p>
    <w:p>
      <w:r>
        <w:t>Das Verfahren ist kostenlos. 3.</w:t>
      </w:r>
    </w:p>
    <w:p>
      <w:r>
        <w:t>Zustellung gegen Empfangsschein an: - X.___ - Y.___ - Stadt Z.___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