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ZL.2024.00052 vom 7. August 2025</w:t>
      </w:r>
    </w:p>
    <w:p>
      <w:r>
        <w:t>ZH Sozialversicherungsgericht, 2025-08-07, DE</w:t>
      </w:r>
    </w:p>
    <w:p>
      <w:r>
        <w:rPr>
          <w:b/>
        </w:rPr>
        <w:t xml:space="preserve">Quelle: </w:t>
      </w:r>
      <w:r>
        <w:t>https://mcp.opencaselaw.ch/entscheid/zh_sozialversicherungsgericht_ZL.2024.00052</w:t>
      </w:r>
    </w:p>
    <w:p>
      <w:r>
        <w:t>FR: ZH_SOZIALVERSICHERUNGSGERICHT ZL.2024.00052 du 7 août 2025</w:t>
      </w:r>
    </w:p>
    <w:p>
      <w:r>
        <w:t>IT: ZH_SOZIALVERSICHERUNGSGERICHT ZL.2024.00052 del 7 agosto 2025</w:t>
      </w:r>
    </w:p>
    <w:p>
      <w:pPr>
        <w:pStyle w:val="Heading2"/>
      </w:pPr>
      <w:r>
        <w:t>Erwägungen</w:t>
      </w:r>
    </w:p>
    <w:p>
      <w:r>
        <w:rPr>
          <w:b/>
        </w:rPr>
        <w:t>E. 1</w:t>
      </w:r>
    </w:p>
    <w:p>
      <w:r>
        <w:t>X.___ , geboren 1968, bezieht von der Stadt Zürich, Amt für Zusatzleistungen zur AHV/IV (Durchführungsstelle), Zusatzleistungen zu seiner Invalidenrente der Eidgenössischen Invalidenversicherung ( Urk. 9/AN S. 3 ). Im Rahmen einer im November 2020 eingeleiteten periodischen Überprüfung (Urk. 9/99) gab der Versicherte bei der Frage nach Vermögen an, seine Mutter sei letztes Jahr verstorben (Urk. 9/100 Ziff. 5.1). In der Folge tätigte die Durchfüh rungsstelle Abklärungen und berechnete mit Verfügung vom 2 5. Mai 2021 (Urk. 9/V44) den Anspruch auf Zusatzleistungen zur AHV/IV ab Dezember 2020 neu, mit dem Hinweis, dass bezüglich Erbschaftsteilung provisorisch ein Betrag von Fr. 30'000.-- berücksichtigt worden sei, dies aber keine Auswirkung auf den ZL-Anspruch des Versicherten habe (S. 2) . Nach weiteren Abklärungen berech nete die Durchführungsstelle mit Verfügung vom 2 0. März 2024 den Anspruch rückwirkend per Mai 2019 ( nach Erbschaft ) neu (Urk. 9/V57). Mit Verfügung vom 2 0. März 2024 forderte die Durchführungsstelle vom Versicherten die für die Periode von Mai 2019 bis März 2024 ausgerichteten Leistungen im Betrag von Fr. 18'265.-- (Ergänzungsleistungen, kantonalrechtliche Beihilfen und Gemeinde zuschüsse) zurück ( Urk. 9/V58). Die gegen diese Verfügungen vom Ver sicherten erhobene Einsprachen vom 2 4. März 2024 ( Urk. 9/134) und vom 2 7. März 2024 ( Urk. 9/133) wies die Durchführungsstelle mit Einspracheentscheid vom 2 2. April 2024 ab ( Urk. 9/V59 = Urk. 2).</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allgemei 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rPr>
          <w:b/>
        </w:rPr>
        <w:t>E. 1.3</w:t>
      </w:r>
    </w:p>
    <w:p>
      <w:r>
        <w:t>Gemäss den Übergangsbestimmungen zur Änderung vom 22. März 2019 gilt für Bezüger und Bezügerinnen von Ergänzungsleistungen, für die die EL Reform ins gesamt einen tieferen Betrag der jährlichen Ergänzungsleistungen oder einen Verlust des Anspruchs auf eine jährliche Ergänzungsleistung zur Folge hat, wäh 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Grundsätzlich hat die EL-Berechnung nach bisherigem Recht so zu erfolgen, als wäre die EL-Reform nicht in Kraft getreten. Davon ausgenommen sind die Anpas 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 senen Personen (KS-R-EL Rz . 2221-2227 ).</w:t>
      </w:r>
    </w:p>
    <w:p>
      <w:r>
        <w:t>Der Beschwerdeführer war bereits vor Inkrafttreten der geänderten Bestimmungen per 1. Januar 2021 Bezüger von Zusatzleistungen. Die Durchführungs stelle erstellte am 1 5. Dezember 2021 eine neue Vergleichsrechnung und gelangte zum Schluss, dass im vorliegenden Fall das bisherige Recht vorteilhafter ist (vgl. 9/V48) . Grundsätzlich hat die EL Berechnung somit</w:t>
      </w:r>
    </w:p>
    <w:p>
      <w:r>
        <w:t>bis 31. Dezember 2023</w:t>
      </w:r>
    </w:p>
    <w:p>
      <w:r>
        <w:t>nach bisherigem Recht so zu erfolgen, als wäre die EL Reform nicht in Kraft getreten.</w:t>
      </w:r>
    </w:p>
    <w:p>
      <w:r>
        <w:rPr>
          <w:b/>
        </w:rPr>
        <w:t>E. 1.4</w:t>
      </w:r>
    </w:p>
    <w:p>
      <w:r>
        <w:t>Der Bund und die Kantone gewähren Personen, welche die Voraussetzungen nach den Art. 4–6 ELG erfüllen, Ergänzungsleistungen zur Deckung ihres Existenzbe darfs (Art. 2 Abs. 1 ELG).</w:t>
      </w:r>
    </w:p>
    <w:p>
      <w:r>
        <w:t>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w:t>
      </w:r>
    </w:p>
    <w:p>
      <w:r>
        <w:t>Im Kanton Zürich werden nach Mas sgabe des ELG und des Gesetzes über die Zusatzleistungen zur eidgenössischen Alters-, Hinterlassenen- und Invalidenversicherung (ZLG) Zusatzleistungen beste 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1.5</w:t>
      </w:r>
    </w:p>
    <w:p>
      <w:r>
        <w:t>Die anrechenbaren Einnahmen werden nach Art. 11 ELG ermittelt. Zeitlich massgebend für die Berechnung der jährlichen Ergänzungsleistung sind in der Regel die während des vorausgegangenen Kalenderjahres erzielten anrechenbaren Ein nahmen sowie das am</w:t>
      </w:r>
    </w:p>
    <w:p>
      <w:r>
        <w:rPr>
          <w:b/>
        </w:rPr>
        <w:t>E. 2</w:t>
      </w:r>
    </w:p>
    <w:p>
      <w:r>
        <w:t>Gegen den Einspracheentscheid vom 2 2. April 2024 ( Urk. 2) erhob der Versicherte mit Eingabe vom 2 3. April 2024 bei der Durchführungsstelle Beschwerde und beantragte sinngemäss dessen Aufhebung ( Urk. 1). Die Durchführungsstelle leitete die Eingabe am 2. Mai 2024 zuständigkeitshalber an das hiesige Gericht wei ter ( Urk. 4) und beantragte mit Beschwerdeantwort vom 1 4. Mai 2024, welche dem Beschwerdeführer am 1 6. Mai 2024 zur Kenntnis gebracht wurde (Urk. 10), die Abweisung der Beschwerde ( Urk. 8).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