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ZL.2023.00118 vom 26. Februar 2025</w:t>
      </w:r>
    </w:p>
    <w:p>
      <w:r>
        <w:t>ZH Sozialversicherungsgericht, 2025-02-26, DE</w:t>
      </w:r>
    </w:p>
    <w:p>
      <w:r>
        <w:rPr>
          <w:b/>
        </w:rPr>
        <w:t xml:space="preserve">Quelle: </w:t>
      </w:r>
      <w:r>
        <w:t>https://mcp.opencaselaw.ch/entscheid/zh_sozialversicherungsgericht_ZL.2023.00118</w:t>
      </w:r>
    </w:p>
    <w:p>
      <w:r>
        <w:t>FR: ZH_SOZIALVERSICHERUNGSGERICHT ZL.2023.00118 du 26 février 2025</w:t>
      </w:r>
    </w:p>
    <w:p>
      <w:r>
        <w:t>IT: ZH_SOZIALVERSICHERUNGSGERICHT ZL.2023.00118 del 26 febbraio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 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ein allfälliger Leistungsanspruch frühestens ab April 2022 besteht (Art.</w:t>
      </w:r>
    </w:p>
    <w:p>
      <w:r>
        <w:t>12 Abs.</w:t>
      </w:r>
    </w:p>
    <w:p>
      <w:r>
        <w:t>1 ELG), finden die seit dem 1. Januar 2021 gültigen Normen auf den vor liegenden Fall Anwendung und werden in dieser Fassung zitiert.</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entspricht gemäss Art. 9 Abs. 1 ELG dem Betrag, um den die anerkannten Ausgaben die anrechenbaren Einnahmen über steigen, mindestens jedoch dem höheren der folgenden Beträge:</w:t>
      </w:r>
    </w:p>
    <w:p>
      <w:r>
        <w:t>a.</w:t>
      </w:r>
    </w:p>
    <w:p>
      <w:r>
        <w:t>der höchsten Prämienverbilligung, die der Kanton für Personen festgelegt hat, die weder Ergänzungsleistungen noch Sozialhilfe beziehen;</w:t>
      </w:r>
    </w:p>
    <w:p>
      <w:r>
        <w:t>b.</w:t>
      </w:r>
    </w:p>
    <w:p>
      <w:r>
        <w:t>60 Prozent des Pauschalbetrages für die obligatorische Krankenpflege versicherung nach Art. 10 Abs. 3 lit . d ELG.</w:t>
      </w:r>
    </w:p>
    <w:p>
      <w:r>
        <w:rPr>
          <w:b/>
        </w:rPr>
        <w:t>E. 1.4</w:t>
      </w:r>
    </w:p>
    <w:p>
      <w:r>
        <w:t>Gemäss Art. 9a Abs. 1 ELG haben Personen Anspruch auf Ergänzungsleistungen, wenn sie über ein Reinvermögen unterhalb der Vermögensschwelle verfügen; diese liegt bei alleinstehenden Personen bei Fr. 100'000.-- ( lit . a). Ein Anspruch auf Ergänzungsleistungen wird daher überhaupt erst geprüft, wenn das Vermögen unter dieser Vermögensschwelle liegt ( Carigiet /Koch, Ergänzungsleistungen zur AHV/IV, 3. Auflage 2021, S. 225 Rz . 570 a.E .).</w:t>
      </w:r>
    </w:p>
    <w:p>
      <w:r>
        <w:t>Zum Reinvermögen von Art. 9a Abs. 1 ELG gehört auch Vermögen, auf welches nach Art. 11a Abs. 2-4 verzichtet wurde (Abs. 3).</w:t>
      </w:r>
    </w:p>
    <w:p>
      <w:r>
        <w:t>Meldet sich eine Person für eine jährliche Ergänzungsleistung an, ist für den An spruch das Vermögen massgebend, das am ersten Tag des Monats vorhanden ist, ab dem die Ergänzungsleistung beansprucht wird (Art. 2 Abs. 2 ELV).</w:t>
      </w:r>
    </w:p>
    <w:p>
      <w:r>
        <w:rPr>
          <w:b/>
        </w:rPr>
        <w:t>E. 1.5</w:t>
      </w:r>
    </w:p>
    <w:p>
      <w:r>
        <w:t>Als Einkommen anzurechnen sind unter anderem auch Einkünfte und Ver mögenswerte, auf die verzichtet worden ist ( Art. 11a ELG ). Eine Verzichts handlung im Sinne dieser Bestimmung liegt vor, wenn die versicherte Person ohne rechtliche Verpflichtung und ohne adäquate Gegenleistung auf Einkünfte oder Vermögen verzichtet hat, wenn sie einen Rechtsanspruch auf bestimmte Ein 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rPr>
          <w:b/>
        </w:rPr>
        <w:t>E. 1.6</w:t>
      </w:r>
    </w:p>
    <w:p>
      <w:r>
        <w:t>Gestützt auf Art. 9 Abs. 5 lit . b ELG hat der Bundesrat in Art. 17 ELV nähere Bestimmungen zur Vermögensbewertung erlassen. Danach ist das anrechenbare Vermögen - vorbehältlich Abs. 4 bis Abs. 6 - nach den Grundsätzen der Gesetz gebung über die direkte kantonale Steuer für die Bewertung des Vermögens im Wohnsitzkanton zu bewerten (Abs. 1). Auf Vermögenswerte, auf die verzichtet worden ist (Art. 11 Abs. 1 lit . g ELG), sind die Bewertungsregeln nach Art. 17 ELV ebenfalls anwendbar (BGE 113 V 194 E. 5b, SVR 1996 EL Nr. 20 S. 60 E. 7a).</w:t>
      </w:r>
    </w:p>
    <w:p>
      <w:r>
        <w:rPr>
          <w:b/>
        </w:rPr>
        <w:t>E. 1.7</w:t>
      </w:r>
    </w:p>
    <w:p>
      <w:r>
        <w:t>Nach der Rechtsprechung ist unter dem Verkehrswert einer Liegenschaft der Ver kaufswert zu verstehen, den sie im normalen Geschäftsverkehr besitzt. Der so ermittelte Verkehrswert setzt grundsätzlich eine konkrete und aktuelle Liegen schaftsschätzung voraus. Aus Gründen der Praktikabilität können aber auch andere geeignete Schätzungen beigezogen werden (Urteil des Bundesgerichts 9C_100/2019 vom 16. Mai 2019 E. 6.1).</w:t>
      </w:r>
    </w:p>
    <w:p>
      <w:r>
        <w:rPr>
          <w:b/>
        </w:rPr>
        <w:t>E. 2</w:t>
      </w:r>
    </w:p>
    <w:p>
      <w:r>
        <w:t>ff.).</w:t>
      </w:r>
    </w:p>
    <w:p>
      <w:r>
        <w:rPr>
          <w:b/>
        </w:rPr>
        <w:t>E. 2.1</w:t>
      </w:r>
    </w:p>
    <w:p>
      <w:r>
        <w:t>Die Beschwerdegegnerin hielt im angefochtenen Einspracheentscheid (Urk. 2) im Wesentlichen fest, es sei unbestritten, dass die ehemals eheliche Wohnung i n</w:t>
      </w:r>
    </w:p>
    <w:p>
      <w:r>
        <w:t>A.___ ursprünglich im hälftigen Miteigentum des Beschwerdeführers und seiner Ex-Ehefrau B.___</w:t>
      </w:r>
    </w:p>
    <w:p>
      <w:r>
        <w:t>(nachfolgend: Ex-Ehefrau) gestanden habe. Ebenfalls sei unbestritten, dass der Beschwerdeführer seinen hälftigen Mit eigentumsanteil seiner Ex-Ehefrau im Dezember 2007 geschenkt habe. Darin liege eine Verzichtshandlung, denn eine Schenkung erfolge definitionsgemäss ohne Gegenleistung. Für die Bewertung des entäusserten Vermögens sei der Wert der Liegenschaft im Zeitpunkt des Verzichts, also im Jahr 2007, massgebend. Ursprünglich, im Jahr 1997, habe der Beschwerdeführer den hier betroffenen halben Miteigentumsanteil seiner Ex-Ehefrau abgekauft und hierfür Fr. 302'500 .-- bezahlt. In der Folge sei der Wert der Liegenschaft gestiegen, bis diese im Jahr 2021 gemäss Angabe des Beschwerdeführers für über Fr. 1 Million verkauft worden sei. Demnach sei das ursprüngliche Verzichtsvermögen nicht lediglich bei Fr. 200'000 .-- (vgl. Verfügung vom 28. November 2022, Urk. 3/17 = Urk. 6/76), sondern (vorerst) mindestens auf</w:t>
      </w:r>
    </w:p>
    <w:p>
      <w:r>
        <w:t>Fr. 302'500 .-- zu bemessen. Da der Verzicht im Jahr 2007 erfolgt sei, sei der Wert des Verzichts unverändert auf den 1. Januar 2008 zu übertragen und dann jährlich um Fr. 10'000 .-- zu reduzieren. In Korrektur zur angefochtenen Verfügung ergebe sich per Anfang 2022 somit eine Amortisation von Fr. 140'000 .-- sowie ein Verzichtsvermögen von mindestens Fr. 162'500 .-- . Zudem habe sich laut Scheidungsurteil vom 16. Dezember 2020 die Ex-Ehefrau verpflichtet, zur Abgeltung der güterrechtlichen Ansprüche eine Ausgleichszahlung von Fr. 50'000 .-- an den Beschwerdeführer zu leisten. In welchem Umfang diese Zahlung quasi als Gegen leistung vom Verzichtsvermögen in Abzug zu bringen sei, sei aufgrund der Akten nicht ganz schlüssig. Die Frage könne aber (vorerst) offengelassen werden. Denn auch wenn man die Ausgleichszahlung in vollem Umfang zulasse, liege das Verzichtsvermögen immer noch über der Vermögensschwelle von Fr. 100'000 .-- (S. 2 f.).</w:t>
      </w:r>
    </w:p>
    <w:p>
      <w:r>
        <w:rPr>
          <w:b/>
        </w:rPr>
        <w:t>E. 2.2</w:t>
      </w:r>
    </w:p>
    <w:p>
      <w:r>
        <w:t>Der Beschwerdeführer stellte sich demgegenüber auf den Standpunkt (Urk. 1), dass er seine n hälftigen Miteigentumsanteil an der Wohnung in A.___</w:t>
      </w:r>
    </w:p>
    <w:p>
      <w:r>
        <w:t>am 18. Dezember 2007 an seine damalige Ehefrau übertragen habe , um sich gegen</w:t>
      </w:r>
    </w:p>
    <w:p>
      <w:r>
        <w:t>allfällige Verantwortlichkeitsansprüche zu wappnen, also rein aus Sicherungs gründen und unter der Bedingung, dass die Ex-Ehefrau den hälftigen Mit eigentumsanteil wieder an ihn zurückübertr a g e , wenn die Gefahr von allfälligen Verantwortlichkeitsansprüchen vorbei sei. Die Parteien seien von einer Risiko dauer von vier Jahren ausgegangen und hätten daher am</w:t>
      </w:r>
    </w:p>
    <w:p>
      <w:r>
        <w:rPr>
          <w:b/>
        </w:rPr>
        <w:t>E. 2.3</w:t>
      </w:r>
    </w:p>
    <w:p>
      <w:r>
        <w:t>Die Beschwerdegegnerin führte in der Beschwerdeantwort (Urk. 5) ergänzend aus, dass der Beschwerdeführer im Dezember 2007 seiner damaligen Ehefrau seinen hälftigen Anteil an der Wohnung geschenkt habe, wobei die Schenkung unter der resolutiven bzw. auflösenden Bedingung gestanden habe, dass der Anteil im September 2011 an ih n zurückübereignet würde. Diese Rückübereignung habe er allerdings nie erfolgreich eingefordert. Mit der Unterzeichnung der Scheidungs vereinbarung bzw. der güterrechtlichen Auseinandersetzung habe der Beschwerdeführer definitiv auf weitere Forderungen gegenüber seiner Ex-Ehefrau verzichtet. Mit dieser Handlung habe er auf das ihm zustehende Vermögen ver zichtet .</w:t>
      </w:r>
    </w:p>
    <w:p>
      <w:r>
        <w:t>Der hälftige Miteigentumsanteil habe im Jahr 2007 – nach näher dar gelegten Ausführungen – einen Wert von Fr. 337'758 .-- gehabt. Davon seien die auf den Beschwerdeführer entfallen d en Hypothekarzinsen von Fr. 105'000 .-- so wie das Darlehen der Ex-Ehefrau an den Beschwerdeführer von Fr. 17'500 .-- , welches sie ihm anlässlich des Kaufs im Jahre 2004 habe zukommen lassen, ab zuziehen. Das ergebe einen Betrag von Fr. 215'258 .-- . Diesen Betrag habe der Beschwerdeführer im Dezember 2007 seiner Ehefrau geschenkt, ohne dabei sicherzustellen, dass ihm der Anteil im Jahre 2011 tatsächlich auch wieder zurückübereignet würde. Im Scheidungsurteil vom 16. Dezember 2020 habe sich die Ex-Ehefrau verpflichtet, dem Beschwerdeführer zur Abgeltung seiner güter rechtlichen Ansprüche Fr. 50'000 .-- zu bezahlen. Im Gegenzug habe sich der Beschwerdeführer verpflichtet, das Rückfallsrecht aus dem Grundbuch löschen zu lassen. Es könne daher davon ausgegangen werden, dass mit den Fr. 50'000 .-- mindestens teilweise die Übereignung des Miteigentumsanteils an der Wohnung habe entschädigt werden sollen. Vom Schenkungsbetrag von Fr. 215'258 .-- seien daher Fr. 50'000 .-- in Abzug zu bringen. Es verbleibe somit ein Vermögens verzicht in der Höhe von Fr. 165 ' 258 .-- . Die Verzichtshandlung habe nicht im Zeitpunkt der resolutiv bedingten Schenkung im Jahr 2007 stattgefunden, sondern mit der güterrechtlichen Auseinandersetzung im Rahmen der Scheidungsvereinbarung vom 3. Dezember 202 0. Unter der Berücksichtigung der Amortisation gemäss Art. 17e ELV von Fr. 10'000 .-- sei dem Beschwerdeführer für das Jahr 2022 somit ein Verzichtsvermögen von Fr. 155'258 .-- anzurechnen (S.</w:t>
      </w:r>
    </w:p>
    <w:p>
      <w:r>
        <w:rPr>
          <w:b/>
        </w:rPr>
        <w:t>E. 2.4</w:t>
      </w:r>
    </w:p>
    <w:p>
      <w:r>
        <w:t>Der Beschwerdeführer stellte sich in der Replik (Urk. 10/1 = Urk. 10/2) auf den Standpunkt, dass ihn das Bezirksgericht Meilen anlässlich der Scheidung dazu gezwungen habe, auf die Rückgabe der Wohnung zu verzichte n , da seine Ex-Ehefrau einer Einigung ansonsten in keiner Weise zugestimmt hätte. Seine Tochter, die aufgrund eines Hirnschlages seine Beiständin gewesen sei, habe der Abfindungssumme zugestimmt. Das habe aber in keiner Weise bedeutet, dass er dem Verzicht auf den hälftigen Liegenschaftsanteil zugestimmt habe.</w:t>
      </w:r>
    </w:p>
    <w:p>
      <w:r>
        <w:rPr>
          <w:b/>
        </w:rPr>
        <w:t>E. 3</w:t>
      </w:r>
    </w:p>
    <w:p>
      <w:r>
        <w:t>2</w:t>
      </w:r>
    </w:p>
    <w:p>
      <w:r>
        <w:t>Die schenkungsweise Übertragung des Miteigentumsanteils des Beschwerde führers an seine Ex-Ehefrau im Jahr 2007 erfolgte gemäss Darstellung des Beschwerdeführers , um das eheliche Vermögen vor allfälligen Verantwortlich keitsansprüchen zu schützen , mithin als Versuch , den Miteigentumsanteil an der ehelichen Liegenschaft künftigen Gläubigern als Verwertungssubstrat zu ent ziehen ( Urk. 1 S. 2 ) . Die nur fünf Tage nach der Eigentumsübertragung geschlossene Vereinbarung zwischen dem Beschwerdeführer und seiner heutigen Ex-Ehefrau betreffend Rückfall des Miteigentumsanteils (vgl. E. 3.2) lässt die Natur der Eigentumsübertragung als Simulationsgeschäft als plausibel erscheinen. Die se Sachverhaltsdarstellung des Beschwerdeführers bleibt d e nn auch seitens der Beschwerdegegnerin unbestritten ( Urk. 2, Urk. 5).</w:t>
      </w:r>
    </w:p>
    <w:p>
      <w:r>
        <w:t>Das Eheschutz verfahren zwischen dem Beschwerdeführer und seiner Ex-Ehefrau wurde erst im Jahr 2018 eingeleitet ( Urk. 6/12 S. 2). Die Schenkung des Miteigentumsanteils im Jahr 2007 – auf erhebliche Bedenken bezüglich Rechtmässigkeit muss im vor liegenden Kontext nicht eingegangen werden – erfolgte auf dem Boden einer Schicksals gemeinschaft und zielte auf den Schutz der ehelichen Existenzgrund lage ab.</w:t>
      </w:r>
    </w:p>
    <w:p>
      <w:r>
        <w:t>Ein Vertrag betreffend Übertragung eines Grundstücks bedarf gemäss Art. 658 Abs. 1 des Schweizerischen Zivilgesetzbuches (ZGB) der öffentlichen Beurkundung. Die Möglichkeit der Absicherung des Rückfalls mit tels eine s form gültigen Vertrag es war dem Beschwerdeführer nicht möglich , da dies die Offen legung der Schenkungssimulation gegenüber dem Notar bedingt hätte. Ein simulierter Vertrag ist nicht wirksam ( Art. 18 Abs. 1 ZGB). Immerhin schloss der Beschwerdeführer mit seiner Ex-Ehefrau eine schriftliche Vereinbarung betreffend Rückübereignung ab, was ihm im Hinblick auf eine spätere güterrecht liche Auseinandersetzung bezüglich Schenkungssimulation ein Beweismittel in die Hand gab.</w:t>
      </w:r>
    </w:p>
    <w:p>
      <w:r>
        <w:t>Ein grobfahrlässiges Verhalten (vgl. Urteil des Bundesgerichts 9C_904/2011 vom 5. März 2012 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