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ZL.2023.00095 vom 31. Mai 2024</w:t>
      </w:r>
    </w:p>
    <w:p>
      <w:r>
        <w:t>ZH Sozialversicherungsgericht, 2024-05-31, DE</w:t>
      </w:r>
    </w:p>
    <w:p>
      <w:r>
        <w:rPr>
          <w:b/>
        </w:rPr>
        <w:t xml:space="preserve">Quelle: </w:t>
      </w:r>
      <w:r>
        <w:t>https://mcp.opencaselaw.ch/entscheid/zh_sozialversicherungsgericht_ZL.2023.00095</w:t>
      </w:r>
    </w:p>
    <w:p>
      <w:r>
        <w:t>FR: ZH_SOZIALVERSICHERUNGSGERICHT ZL.2023.00095 du 31 mai 2024</w:t>
      </w:r>
    </w:p>
    <w:p>
      <w:r>
        <w:t>IT: ZH_SOZIALVERSICHERUNGSGERICHT ZL.2023.00095 del 31 maggio 2024</w:t>
      </w:r>
    </w:p>
    <w:p>
      <w:pPr>
        <w:pStyle w:val="Heading2"/>
      </w:pPr>
      <w:r>
        <w:t>Erwägungen</w:t>
      </w:r>
    </w:p>
    <w:p>
      <w:r>
        <w:rPr>
          <w:b/>
        </w:rPr>
        <w:t>E. 1</w:t>
      </w:r>
    </w:p>
    <w:p>
      <w:r>
        <w:t>X.___ , geboren 1951, bezieht eine Altersrente der Alters- und Hin terlassenenversicherung (AHV). Am 2 7. April 2022 stellte sie einen Antrag auf Ausrichtung von Zusatzleistungen zu ihrer AHV-Altersrente ( Urk. 6/1). Der Anmeldung legte die Versicherte Unterlagen ihre finanziellen Verhältnisse betreffend bei ( Urk. 6/2-10). Die Sozialversicherungsanstalt des Kantons Zürich, Zusatzleistungen zur AHV/IV (nachfolgend: Durchführungsstelle), bestätigte in der Folge den Eingang des Leistungsgesuches , verbunden mit der Auflage an X.___ , weitere für die Prüfung des Anspruchs erforderliche Unter lagen einzureichen ; a uch sie selber tätigte Abklärungen ( Urk. 6/11 ff.). Mit Ver fügung vom 2 9. August 2022 wies die Durchführungsstelle den Anspruch von X.___ auf Zusatzleistungen aufgrund des Überschreitens der Ver mögensschwelle von Fr. 100'000.-- ab ( Urk. 6/28). Gegen die genannte Verfü gung erhob X.___ am 2 4. September 2022 Einsprache ( Urk. 6/54). Nach dem Beizug von Akten des Steueramtes des Kantons Zürich ( Urk. 6/58-6</w:t>
      </w:r>
    </w:p>
    <w:p>
      <w:r>
        <w:rPr>
          <w:b/>
        </w:rPr>
        <w:t>E. 6</w:t>
      </w:r>
    </w:p>
    <w:p>
      <w:r>
        <w:t>) erliess die Durchführungsstelle am 1 9. September 2023 den Einspracheentscheid , mit dem sie die Einsprache von X.___ abwies ( Urk. 6/69 = Urk. 2). 2.</w:t>
      </w:r>
    </w:p>
    <w:p>
      <w:r>
        <w:t>Gegen den Einspracheentscheid vom 1 9. September 2023 ( Urk. 2) erhob X.___ mit Eingabe vom 1 7. Oktober 2023 Beschwerde mit dem Rechtsbegeh ren, in Aufhebung des angefochtenen Entscheides seien ihr basierend auf einem Vermögensverzicht von höchstens Fr. 30'014.-- Zusatzleistungen zuzusprechen ( Urk. 1). Die Durchführungsstelle beantragte in der Beschwerdeantwort vom 2 0. November 2023 die Abweisung der Beschwerde (Urk.</w:t>
      </w:r>
    </w:p>
    <w:p>
      <w:r>
        <w:t>5). Dies wurde X.___ am 3 0. November 2023 mitgeteilt (Urk.</w:t>
      </w:r>
    </w:p>
    <w:p>
      <w:r>
        <w:t>7). Das Gericht zieht in Erwägung: 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 tung standen, als sich der zu den materiellen Rechtsfolgen führende und somit rechtserhebliche Sachverhalt verwirklicht hat ( BGE 146 V 364 E. 7.1, 144 V 210 E. 4.3.1,</w:t>
      </w:r>
    </w:p>
    <w:p>
      <w:r>
        <w:t>Urteil des Bundesgerichts 9C_145/2021 vom 2. Juli 2021 E. 3.1, je mit Hinweisen ).</w:t>
      </w:r>
    </w:p>
    <w:p>
      <w:r>
        <w:t>Da hier Leistungen im Nachgang zur Anmeldung zum Leistungsbezug vom 27.</w:t>
      </w:r>
    </w:p>
    <w:p>
      <w:r>
        <w:t>April 2022 ( Urk. 6/1) Gegenstand des Verfahrens bilden, ein Leistungsan spruch also frühestens ab Anfang April 2022 besteht ( Art. 12 Abs. 1 ELG), finden die seit dem 1. Januar 2021 in Kraft stehenden Normen auf den vorliegenden Fall Anwendung und werden in dieser Fassung zitiert. 2. 2 .1</w:t>
      </w:r>
    </w:p>
    <w:p>
      <w:r>
        <w:t>Sinn und Zweck der Ergänzungsleistungen ist eine angemessene Deckung des Existenzbedarfs bedürftiger Rentner der Alters- und Hinterlassenen- sowie der Invalidenversicherung (vgl. Art. 2 Abs. 1 ELG, Art. 112a Abs. 1 der Bundesver fassung [ BV ] ; BGE 139 V 574 E. 3.3.3; vgl. auch BGE 143 V 9 E. 6.2). Ihnen soll ein regelmässiges Mindesteinkommen gesichert werden. 2 .2</w:t>
      </w:r>
    </w:p>
    <w:p>
      <w:r>
        <w:t>Gemäss Art.</w:t>
      </w:r>
    </w:p>
    <w:p>
      <w:r>
        <w:rPr>
          <w:b/>
        </w:rPr>
        <w:t>E. 9</w:t>
      </w:r>
    </w:p>
    <w:p>
      <w:r>
        <w:t>Abs. 1 ELG entspricht die jährliche Ergänzungsleistung dem Betrag, um den die anerkannten Ausgaben ( Art.</w:t>
      </w:r>
    </w:p>
    <w:p>
      <w:r>
        <w:rPr>
          <w:b/>
        </w:rPr>
        <w:t>E. 10</w:t>
      </w:r>
    </w:p>
    <w:p>
      <w:r>
        <w:t>ELG) die anrechenbaren Ein nahmen ( Art.</w:t>
      </w:r>
    </w:p>
    <w:p>
      <w:r>
        <w:rPr>
          <w:b/>
        </w:rPr>
        <w:t>E. 11</w:t>
      </w:r>
    </w:p>
    <w:p>
      <w:r>
        <w:t>Abs. 1 lit .</w:t>
      </w:r>
    </w:p>
    <w:p>
      <w:r>
        <w:t>c</w:t>
      </w:r>
    </w:p>
    <w:p>
      <w:r>
        <w:t>ELG führt dazu, das Geschäftsvermögen von der Ermittlung des Vermögensverzehrs aus zu nehmen. Die Nichtanrechnung bestimmter Vermögenswerte set zt</w:t>
      </w:r>
    </w:p>
    <w:p>
      <w:r>
        <w:t>aber voraus, dass die Führung eines eigenen Unternehmens und die Qualifikation der Vermögenswerte als Geschäftsvermögen nachgewiesen sind . Angesichts der beträchtlichen Miss brauchsgefahr ist ein strenge r Massstab anzulegen ( Jöhl / Usinger -Egger, Ergän zungsleistungen zur AHV/IV, in: Schweizerisches Bundesverwaltungsrecht [SBVR], Soziale Sicherheit, 3. Auflage 2016, S. 1846 f. Rz . 165).</w:t>
      </w:r>
    </w:p>
    <w:p>
      <w:r>
        <w:t>Der Nachweis des privaten Vermögens der Beschwerdeführerin einerseits und des Geschäftsvermögens andererseits ist aufgrund der zur Verfügung stehenden Unterlagen ohne weiteres möglich . Die die Beschwerdeführerin persönlich und die Y.___ GmbH betreffenden Steuerunterlagen sind aktenkundig und geben darüber hinreichend Auskunft ( Urk. 6/59 -60,</w:t>
      </w:r>
    </w:p>
    <w:p>
      <w:r>
        <w:t>Urk. 6/66 ; vgl. auch vorste hende E. 5.2) . Es sind sodann keine Gründe ersichtlich , den erwähnte n Grundsatz nicht beizubehalten , wenn bei ansonsten vergleichbarer Ausgangslage nicht der Vermögensverzehr zu bestimmen, sondern ein allfälliger Vermögensverzicht zu beurteilen ist. Dies hat zur Folge, dass das Privatvermögen der Beschwerdeführe rin persönlich und das Gesellschaftsvermögen der von ihr geleiteten Y.___ GmbH nicht als wirtschaftliche Einheit zu betrachten und die der Beschwer deführerin von der Y.___ GmbH regelmässig ausbezahlten Vergütungen</w:t>
      </w:r>
    </w:p>
    <w:p>
      <w:r>
        <w:t>demzufolge als</w:t>
      </w:r>
    </w:p>
    <w:p>
      <w:r>
        <w:t>Darlehensrückzahlungen (vgl. vorstehende E. 4) zu qualifizieren sind . Vielmehr wurde mit diesen (Lohn-) Zahlungen die Tätigkeit der Beschwerdeführerin in ihrem Unternehmen entschädigt . Als solche wurden die Zahlungen denn auch gegenüber den Steuerbehörden deklariert ( Urk.</w:t>
      </w:r>
    </w:p>
    <w:p>
      <w:r>
        <w:t>6/59/5-7, Urk. 6/59/ 20-22 , Urk. 6/59/ 31-33 , Urk. 6/59/4 2-44 , Urk.</w:t>
      </w:r>
    </w:p>
    <w:p>
      <w:r>
        <w:t>6/59/53 f. , Urk.</w:t>
      </w:r>
    </w:p>
    <w:p>
      <w:r>
        <w:t>6/59/6 6 f. , Urk. 6/59/ 79 f. , Urk. 6/59/9 4 f. , Urk. 6/59/104, Urk. 6/59/11 7 f. , Urk. 6/59/124 f. ; vgl. auch Urk. 3/11-15 ). Dass die Geschäftstätigkeit der Beschwerdeführerin nicht respektive kaum gewinnbringend war und damit eine Rückzahlung des zur Verfügung gestellten Kapitals letztlich verunmöglicht wurde, kann , wie dargelegt, nicht dazu führen , Vergütungen für geleistete Arbeit im Unternehmen nachträg lich als Darlehensrückzahlungen zu qualifizieren . 7 . 7 .1</w:t>
      </w:r>
    </w:p>
    <w:p>
      <w:r>
        <w:t>Kontrovers zwischen den Parteien ist ferner die Frage des Zeitpunktes des Ver mögensverzichts. Während die Beschwerdeführerin von einem Vermögensver zicht im Jahr 2010 und einer Amortisation der Verzichtssumme ab 2011 ausgeht ( Urk. 1 S. 3), geht nach Auffassung der Beschwerdeführerin die entscheidende Verzichtshandlung auf das Jahr 2021 zurück, als die Beschwerdeführerin bei der Veräusserung der Y.___ GmbH das noch ausstehende Darlehen voll ständig abschrieb ( Urk. 2 S. 4; vgl. auch Urk. 6/68). Gleichzeitig zog die Beschwerdegegnerin in Betracht, dass auch ausgehend von einem Vermögens verzicht im Jahr 2010 und einer Amortisation ab dem Jahr 2011 das bezogen auf den Zeitpunkt der Anmeldung zum Leistungsbezug verbleibende Verzichtsver mögen die massgebliche Grenze gemäss Art. 9a Ziff. 1 lit . a ELG überschritten sei ( Urk. 2 S. 5, Urk. 5 S. 2). 7 .2</w:t>
      </w:r>
    </w:p>
    <w:p>
      <w:r>
        <w:t>D er endgültige Verzicht der Beschwerdeführerin auf die von ihr als uneinbring lich eingeschätzte Darlehensforderung im Jahr 2021 mit darauffolgender Ver äusserung der Y.___ GmbH ohne Passiven (vgl.</w:t>
      </w:r>
    </w:p>
    <w:p>
      <w:r>
        <w:t>Urk. 6/54/2) stellt zweifelsohne</w:t>
      </w:r>
    </w:p>
    <w:p>
      <w:r>
        <w:t>eine Verzichtshandlung im Sinne von Art.</w:t>
      </w:r>
    </w:p>
    <w:p>
      <w:r>
        <w:t>11a Abs. 2 ELG dar , das heisst eine Vermögensentäusserung ohne Rechtspflicht und ohne Gegenleistung . Bis zur Gesuchstellung im Jahr 2022 verringerte sich die Darlehensrestforderung gemäss Art.</w:t>
      </w:r>
    </w:p>
    <w:p>
      <w:r>
        <w:t>17e Abs. 1 u. 2 ELV ab 1. Januar 2022 um insgesamt Fr. 1 0'000.-- auf Fr.</w:t>
      </w:r>
    </w:p>
    <w:p>
      <w:r>
        <w:t>2 47 ' 6 00.-- ( Art. 17e Abs. 3 ELV) , was über der Vermögens schwelle von Fr.</w:t>
      </w:r>
    </w:p>
    <w:p>
      <w:r>
        <w:t>100'000.-- gemäss Art. 9a Abs. 1 lit . a ELG liegt und einen Leis tungsanspruch ausschliesst. 7 .3</w:t>
      </w:r>
    </w:p>
    <w:p>
      <w:r>
        <w:t>Für den früheren Verzichtsz eitpun k t spricht, dass die Beschwerdeführerin das der</w:t>
      </w:r>
    </w:p>
    <w:p>
      <w:r>
        <w:t>Y.___ GmbH im Jahr 2004 gewährte Darlehen von Fr. 152'500.-- (Urk.</w:t>
      </w:r>
    </w:p>
    <w:p>
      <w:r>
        <w:t>6/66/38 ) in verschiedenen Teilbeträgen s tetig erhöhte, bis es 2010 die Summe von Fr. 371'744.-- erreicht</w:t>
      </w:r>
    </w:p>
    <w:p>
      <w:r>
        <w:t>hatte ( Urk. 6/60/24 f.) , die Y.___ GmbH gleichzeitig aber stetig Verluste ausgewiesen hatte ( Urk. 6/59/13, Urk.</w:t>
      </w:r>
    </w:p>
    <w:p>
      <w:r>
        <w:t>6/59/19, Urk. 6/59/24, Urk. 6/59/30, Urk. 6/59/35, Urk. 6/59/4 1 , Urk. 6/59/4 6 , Urk. 6/59/52, Urk. 6/59/59, Urk. 6/59/65, Urk. 6/59/72, Urk. 6/59/78, Urk.</w:t>
      </w:r>
    </w:p>
    <w:p>
      <w:r>
        <w:t>6/59/85, Urk. 6/59/93 ) . Damit lagen 2010 zumindest Anhalts punkte dafür vor, dass das Darlehen nicht werde zurückbezahlt werden können , was es rechtsprechungsgemäss rechtfertigt, von einem Vermögensverzicht aus zugehen ( Carigiet /Koch, Ergänzungsleistungen zur AHV/IV, 3. Aufl., Zürich 2021, S. 245 Rz 631 u. Fn 781 mit Hinweisen). Allerdings muss die Frage nicht abschliessend geklärt werden. Auch ausgehend von einem Vermögensverzicht bereits im Jahr 2010 mit anschliessender Amortisation von Fr. 10'000.-- jährlich ab 2011 bis zur Gesuchstellung im Jahr 2022</w:t>
      </w:r>
    </w:p>
    <w:p>
      <w:r>
        <w:t>ergibt</w:t>
      </w:r>
    </w:p>
    <w:p>
      <w:r>
        <w:t>sich ein Betrag von Fr. 261'744.-- (vgl. Urk. 2 S. 5). Diese r liegt</w:t>
      </w:r>
    </w:p>
    <w:p>
      <w:r>
        <w:t>ebenfalls über der Vermögensschwelle gemäss Art. 9a Abs. 1 lit . a ELG.</w:t>
      </w:r>
    </w:p>
    <w:p>
      <w:r>
        <w:t>Auch unter Berücksichtigung eines Vermögens verzichtes bereits im Jahr 2010 ist der Anspruch auf Zusatzleistungen somit zu verneinen.</w:t>
      </w:r>
    </w:p>
    <w:p>
      <w:r>
        <w:t>Zusammenfassend ergibt sich, dass die Beschwerdegegnerin einen Anspruch der Beschwerdeführerin auf Zusatzleistungen zu ihrer AHV-Altersrente zu Recht ver neint hat . Dies hat die Abweisung der gegen diesen Entscheid erhobenen Beschwerde zur Folge. Das Gericht erkennt: 1.</w:t>
      </w:r>
    </w:p>
    <w:p>
      <w:r>
        <w:t>Die Beschwerde wird abgewiesen.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