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ZL.2022.00050 vom 27. März 2023</w:t>
      </w:r>
    </w:p>
    <w:p>
      <w:r>
        <w:t>ZH Sozialversicherungsgericht, 2023-03-27, DE</w:t>
      </w:r>
    </w:p>
    <w:p>
      <w:r>
        <w:rPr>
          <w:b/>
        </w:rPr>
        <w:t xml:space="preserve">Quelle: </w:t>
      </w:r>
      <w:r>
        <w:t>https://mcp.opencaselaw.ch/entscheid/zh_sozialversicherungsgericht_ZL.2022.00050</w:t>
      </w:r>
    </w:p>
    <w:p>
      <w:r>
        <w:t>FR: ZH_SOZIALVERSICHERUNGSGERICHT ZL.2022.00050 du 27 mars 2023</w:t>
      </w:r>
    </w:p>
    <w:p>
      <w:r>
        <w:t>IT: ZH_SOZIALVERSICHERUNGSGERICHT ZL.2022.00050 del 27 marzo 2023</w:t>
      </w:r>
    </w:p>
    <w:p>
      <w:pPr>
        <w:pStyle w:val="Heading2"/>
      </w:pPr>
      <w:r>
        <w:t>Erwägungen</w:t>
      </w:r>
    </w:p>
    <w:p>
      <w:r>
        <w:rPr>
          <w:b/>
        </w:rPr>
        <w:t>E. 1</w:t>
      </w:r>
    </w:p>
    <w:p>
      <w:r>
        <w:t>X.___ , geboren 1955 , wanderte zusammen mit ihrem Ehemann</w:t>
      </w:r>
    </w:p>
    <w:p>
      <w:r>
        <w:t>Z .___ 1995 nach Ecuador aus (vgl. Urk. 7/45 ; Urk. 7/48) .</w:t>
      </w:r>
    </w:p>
    <w:p>
      <w:r>
        <w:t>Seit dem 1. Oktober 2017 bez og beziehungsweise bezieht sie eine vorbezogen e Altersente (Urk. 7/8 ; ordentliche Altersrente mit Kürzung wegen Vorbezug ). Nach ihrer Wiedereinreise in die Schweiz nahm sie zunächst Wohnsitz</w:t>
      </w:r>
    </w:p>
    <w:p>
      <w:r>
        <w:t>in der Gemeinde A .___</w:t>
      </w:r>
    </w:p>
    <w:p>
      <w:r>
        <w:t>und bezog dort ab 1. Januar 2022 während zweier Monate Ergänzungsleistungen (Urk. 7/29 -30 ). Per 1. März 2022 verlegte sie ihren Wohn sitz nach Y.___</w:t>
      </w:r>
    </w:p>
    <w:p>
      <w:r>
        <w:t>(Urk. 7/51), wo sie sich am 12. März 2022</w:t>
      </w:r>
    </w:p>
    <w:p>
      <w:r>
        <w:t>zum Bezug von Ergänzungs- und Zusatzleistungen an meldete (Urk. 7/27). Mit Verfügung vom 17. Mai 2022 (Urk. 7/39) verneinte die Stadt Y.___ , Sozial versicherungen (nachfolgend: Durchführungsstelle), einen Anspruch auf Zusatzleistungen infolge eines Einnahmeüberschuss es . Die von der Versicherten am 3. Juni 2022 (Urk. 7/41) dagegen erhobene Einsprache wies die Durch führungs stelle mit Ent scheid vom 23. Juni 202</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sowie des kantonalen Zusatz leistungs gesetzes (ZLG) in Kraft getreten. Gemäss den allgemeinen über gangsrechtlichen Regeln sind der Beurteilung vorbehältlich besonderer übergangsrechtlicher Rege lungen jene Rechtsnormen zu Grunde zu legen, die in Geltung standen, als sich der zu den materiellen Rechtsfolgen führende und somit rechtserhebliche Sach verhalt verwirklicht hat (BGE 146 V 364 E. 7.1, 144 V 210 E. 4.3.1, Urteil des Bundesgerichts 9C_145/2021 vom 2. Juli 2021 E. 3.1, je mit Hinweisen ).</w:t>
      </w:r>
    </w:p>
    <w:p>
      <w:r>
        <w:t>Da der Leistungsanspruch ab März 2022 Gegenstand des Verfahrens bildet, sind die am 1.</w:t>
      </w:r>
    </w:p>
    <w:p>
      <w:r>
        <w:t>Januar 2021 in Kraft getretenen neuen Bestimmungen auf den vorlie genden Fall anwendbar und werden in dieser Fassung zitiert.</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w:t>
      </w:r>
    </w:p>
    <w:p>
      <w:r>
        <w:t>Abs. 1 ZLG).</w:t>
      </w:r>
    </w:p>
    <w:p>
      <w:r>
        <w:rPr>
          <w:b/>
        </w:rPr>
        <w:t>E. 1.3</w:t>
      </w:r>
    </w:p>
    <w:p>
      <w:r>
        <w:t>Gemäss Art.</w:t>
      </w:r>
    </w:p>
    <w:p>
      <w:r>
        <w:t>9 Abs.</w:t>
      </w:r>
    </w:p>
    <w:p>
      <w:r>
        <w:t>1 ELG entspricht die jährliche Ergänzungsleistung dem Betrag, um den die anerkannten Ausgaben (Art.</w:t>
      </w:r>
    </w:p>
    <w:p>
      <w:r>
        <w:t>10 ELG) die anrechenbaren Ein nahmen (Art.</w:t>
      </w:r>
    </w:p>
    <w:p>
      <w:r>
        <w:t>11 ELG) übersteigen, mindestens jedoch dem höheren der Beträge nach lit .</w:t>
      </w:r>
    </w:p>
    <w:p>
      <w:r>
        <w:t>a und b dieser Bestimmung.</w:t>
      </w:r>
    </w:p>
    <w:p>
      <w:r>
        <w:rPr>
          <w:b/>
        </w:rPr>
        <w:t>E. 1.4</w:t>
      </w:r>
    </w:p>
    <w:p>
      <w:r>
        <w:t>Die anerkannten Ausgaben sowie die anrechenbaren Einnahmen von Ehegatten werden zusammengerechnet (Art.</w:t>
      </w:r>
    </w:p>
    <w:p>
      <w:r>
        <w:t>9 Abs.</w:t>
      </w:r>
    </w:p>
    <w:p>
      <w:r>
        <w:rPr>
          <w:b/>
        </w:rPr>
        <w:t>E. 1.5</w:t>
      </w:r>
    </w:p>
    <w:p>
      <w:r>
        <w:t>Als Einnahme wird unter anderem ein Fünfzehntel, bei Altersrentnerinnen und Altersrentnern ein Zehntel des Reinvermögens angerechnet, soweit es bei allein stehenden Personen 30'000 Franken und bei Ehepaaren 50'000 Franken über steigt (Art.</w:t>
      </w:r>
    </w:p>
    <w:p>
      <w:r>
        <w:t>11 Abs.</w:t>
      </w:r>
    </w:p>
    <w:p>
      <w:r>
        <w:t>1 lit .</w:t>
      </w:r>
    </w:p>
    <w:p>
      <w:r>
        <w:t>c ELG). Gemäss Art. 9a Abs. 1 ELG besteht eine Vermö gensschwelle von 100'000 Franken bei alleinstehenden Personen ( lit . a) und 200'000 Franken bei Ehepaaren ( lit . b); liegt das Reinvermögen darüber, besteht kein Anspruch auf Ergänzungsleistungen. 2.</w:t>
      </w:r>
    </w:p>
    <w:p>
      <w:r>
        <w:rPr>
          <w:b/>
        </w:rPr>
        <w:t>E. 2</w:t>
      </w:r>
    </w:p>
    <w:p>
      <w:r>
        <w:t>ELG). Der Bundesrat kann Ausnahmen von der Zusammenrechnung vorsehen (Art.</w:t>
      </w:r>
    </w:p>
    <w:p>
      <w:r>
        <w:t>9 Abs.</w:t>
      </w:r>
    </w:p>
    <w:p>
      <w:r>
        <w:rPr>
          <w:b/>
        </w:rPr>
        <w:t>E. 2.1</w:t>
      </w:r>
    </w:p>
    <w:p>
      <w:r>
        <w:t>Die Beschwerdegegnerin stellte sich gemäss Begründung des angefochtenen Ein spracheentscheids (Urk. 2) und der Beschwerdeantwort (Urk. 6) auf den Stand punkt, in der Anspruchsberechnung sei aufgrund des Umstandes, dass sich der Ehegatte der Beschwerdeführerin in Ecuador aufhalte, nur die Beschwerde führerin als Einzelperson erfasst und das gemeinsame Vermögen lediglich zur Hälfte angerechnet worden . Die Liegenschaft in Ecuador werde zwar durch den Ehegatten bewohnt, indes nicht durch die Beschwerdeführerin, weshalb die Lie genschaft zum aktuellen Verkehrswert (Marktwert) zu berücksichtigen sei . Da keine aktuelle Verkehrswertschätzung habe eingereicht werden können, sei auf die Einschätzung des Maklers abgestellt worden, da die Liegenschaft zum aktuel len Zeitpunkt zum Verkauf stehe (Urk. 2 S. 2).</w:t>
      </w:r>
    </w:p>
    <w:p>
      <w:r>
        <w:rPr>
          <w:b/>
        </w:rPr>
        <w:t>E. 2.2</w:t>
      </w:r>
    </w:p>
    <w:p>
      <w:r>
        <w:t>Demgegenüber machte die Beschwerdeführerin im Wesentlichen geltend (Urk. 1), die gemeinsame Liegenschaft B.___</w:t>
      </w:r>
    </w:p>
    <w:p>
      <w:r>
        <w:t>in Ecuador werde weiterhin von ihrem Ehegatten bewohnt. Er könne sie nur verlassen, wenn sie verkauft werde. Der Makler habe den Wert der Liegenschaft auf US $ 260'000.-- geschätzt. Auf einen Verkauf hofften sie jedoch seit Jahren, doch werde dies pandemie bedingt und aufgrund politischer Unruhen immer schwieriger, und es sei zu bezweifeln, dass sie die Liegenschaft zu diesem Preis überhaupt je verkaufen könnten. Der Steuerwert von US $ 123'000. -- stelle aber einen anerkannten Wert dar und könne in Ecuador nicht unterboten werden . Deshalb sei dieser Steuerwert für die Liegenschaft B.___</w:t>
      </w:r>
    </w:p>
    <w:p>
      <w:r>
        <w:t>(anteilsmässig) als Vermögen anzu rechnen, wie es die Gemeinde A.___ getan habe (S. 1</w:t>
      </w:r>
    </w:p>
    <w:p>
      <w:r>
        <w:t>f.).</w:t>
      </w:r>
    </w:p>
    <w:p>
      <w:r>
        <w:rPr>
          <w:b/>
        </w:rPr>
        <w:t>E. 2.3</w:t>
      </w:r>
    </w:p>
    <w:p>
      <w:r>
        <w:t>Im Streite stehen somit ausschliesslich die Frag en nach der Bewertungsmethode und dem Wert der Liegenschaft in Ecuador , an welcher die Beschwerdeführerin gemäss eigenen Angaben Miteigentümerin ist respektive welche sich im Eigentum der Ehegatten befindet.</w:t>
      </w:r>
    </w:p>
    <w:p>
      <w:r>
        <w:t>Die gerichtliche Beurteilung hat sich praxisgemäss auf diesen Punkt zu beschrän ken, wogegen kein Anlass besteht, die übrigen unbestrittenen Berechnungsposi tionen in die Prüfung mit einzubeziehen (BGE 131 V 329 E.</w:t>
      </w:r>
    </w:p>
    <w:p>
      <w:r>
        <w:t>4, 110 V 48 E.</w:t>
      </w:r>
    </w:p>
    <w:p>
      <w:r>
        <w:t>4a). 3. 3.1</w:t>
      </w:r>
    </w:p>
    <w:p>
      <w:r>
        <w:t>Die Beschwerdeführerin und ihr Ehemann liessen sich Ende 1994 respektive 1995 ihre jeweiligen Austrittsleistungen aus der zweiten Säule auszahlen (Urk. 7/10) und wanderten im November 1995 nach Ecuador aus (vgl. Urk. 7/4 5-46 ). Dort erwarben sie respektive ihr Ehemann am 6. April 1999 eine Liegenschaft</w:t>
      </w:r>
    </w:p>
    <w:p>
      <w:r>
        <w:t>(vgl.</w:t>
      </w:r>
    </w:p>
    <w:p>
      <w:r>
        <w:t>Urk. 7/15, Urk. 7/19 S. 3-4 ) , welche ihnen bis zum Ausbruch der Corona-Pande mie als Wohn- und Gästehaus ( Bed &amp; Breakfast- Pension) diente (vgl.</w:t>
      </w:r>
    </w:p>
    <w:p>
      <w:r>
        <w:t>Urk. 7/ 28; Urk. 7/31 ). Auch nach der Rückkehr der Beschwerdeführerin aus gesundheitlichen Gründen in die Schweiz blieb der Ehemann dort wohnhaft mit der Absicht, die Immobilie zu verkaufen und später in die Schweiz nachzureisen (vgl. Urk. 7/31). 3.2</w:t>
      </w:r>
    </w:p>
    <w:p>
      <w:r>
        <w:t>Gemäss Rz 3443.07 der Wegleitung über die Ergänzungsleistungen zur AHV und IV (WEL, gültig ab 1. April 2011, Stand 1. Januar 2022) sind im Ausland liegende und nicht in die Schweiz transferierbare oder sonstwie nicht verwertbare Vermö gens stücke nicht bei den Einnahmen anzurechnen. Wenn der Erlös aus dem Ver kauf eines Grundstücks in die Schweiz transferiert werden kann, ist das Grund stück hingegen als Vermögen anzurechnen. Diese Verwaltungsweisung ist gesetzmässig. Sie trägt insbesondere dem Grundsatz Rechnung, dass bei der Anspruchsberechnung nur tatsächlich vereinnahmte Einkünfte und vorhandene Vermögenswerte zu berücksichtigen sind, über die der Leistungsansprecher ungeschmälert verfügen kann (Urteile des Bundesgerichts 9C_751/2018 vom 16. April 2019 E. 6.2 sowie P 82/02 vom 26. Mai 2003 E. 2.2 und E. 3).</w:t>
      </w:r>
    </w:p>
    <w:p>
      <w:r>
        <w:t>Zwar erwähnte die Beschwerdeführerin den aufgrund der Pandemie und der politischen Lage für den Verkauf der Liegenschaft schwierigen Markt. Die Beschwerde führerin respektive ihr Ehegatte können gemäss eigenen Angaben über die Liegens chaft</w:t>
      </w:r>
    </w:p>
    <w:p>
      <w:r>
        <w:t>jedoch frei verfügen und sie ohne rechtliche Probleme verkaufen und den Verkaufserlös in die Schweiz einführen, weshalb kein Ausnahmefall gegeben ist. 3.3</w:t>
      </w:r>
    </w:p>
    <w:p>
      <w:r>
        <w:t>Dienen Grundstücke dem Bezüger oder einer Person, die in die EL-Berechnung eingeschlossen ist, nicht zu eigenen Wohnzwecken, so sind diese zum Verkehrs wert einzusetzen (Art. 17a Abs. 4 ELV). Die Kantone können anstelle des Ver kehrswertes einheitlich den für die interkantonale Steuerausscheidung massge benden Repartitionswert anwenden (Art. 17a Abs. 6 ELV). Der Kanton Zürich hat von dieser Befugnis keinen Gebrauch gemacht (vgl. Ziffer 2.2.1 der Weisungen des Kantonalen Sozialamtes zum Vollzug der Zusatzleistungen zur AHV/IV [Stand am 1. Januar 2021]) .</w:t>
      </w:r>
    </w:p>
    <w:p>
      <w:r>
        <w:t>Nach dem Gesagten kommt zur Bestim mung des Wer tes der Immobilien Art.</w:t>
      </w:r>
    </w:p>
    <w:p>
      <w:r>
        <w:t>17 a Abs.</w:t>
      </w:r>
    </w:p>
    <w:p>
      <w:r>
        <w:t>4 ELV zur Anwendung, weil die Beschwerde führerin in der Schweiz wohnt und die Immobilie ihr nicht zu Wohnzwecke n dient. Daran ändert auch der Umstand nichts, dass ihr Ehegatte weiterhin in dieser Liegenschaft wohnhaft ist, zumal er gemäss Art. 10 ELV nicht in der Anspruchs berechnung erfasst wird (vgl. vorstehend E. 1.4). Somit ist grundsätzlich der Ver kehrswert der Liegenschaft per Anfang 2022 (Art.</w:t>
      </w:r>
    </w:p>
    <w:p>
      <w:r>
        <w:t>23 Abs.</w:t>
      </w:r>
    </w:p>
    <w:p>
      <w:r>
        <w:t>1 ELV) massgeblich.</w:t>
      </w:r>
    </w:p>
    <w:p>
      <w:r>
        <w:t>Unbehelflich ist</w:t>
      </w:r>
    </w:p>
    <w:p>
      <w:r>
        <w:t>in diesem Zusammenhang der Hinweis der Beschwerdeführerin, die vormalige Durchführungsstelle, die Gemeinde A.___ , habe hin sichtlich der Liegenschaftsbewertung statt des Verkehrswertes auf den Steuerwert abgestellt (vgl. Urk. 1; Urk. 3/1), da die Berechnung der Gemeinde A.___ für die Beschwerdegegnerin keinerlei Bindungs wirkung entfaltet und überdies auch Unklarheit herrscht, welche Unterlagen ihr beim Entscheid zur Verfügung gestanden haben (vgl. Urk. 6 S. 2) . 3. 4</w:t>
      </w:r>
    </w:p>
    <w:p>
      <w:r>
        <w:t>Nach der Rechtsprechung ist unter dem Verkehrswert einer Liegenschaft der Ver kaufswert zu verstehen, den sie im normalen Geschäftsverkehr besitzt. Der so ermittelte Verkehrswert setzt grundsätzlich eine konkrete und aktuelle Liegen schafts schätzung voraus. Aus Gründen der Praktikabilität können aber auch andere geeignete Schätzungen beigezogen werden (Urteil des Bundesgerichts 9C_100/2019 vom 16. Mai 2019 E. 6.1).</w:t>
      </w:r>
    </w:p>
    <w:p>
      <w:r>
        <w:t>Die Bewertung ausländischer Liegen schaften wirft oft besondere Schwierigkeiten auf, da eine Schätzung durch eine in der Schweiz tätige Fachperson nicht möglich ist. Auf eine im Ausland erstellte Verkehrswertschätzung kann abgestellt werden, wenn keine Anhalts punkte dafür vorliegen, dass es sich um eine Gefälligkeitsschätzung handelt, und die Bewer tung nachvollziehbar ist. Dazu hat sich das Gutachten detailliert zu jenen Eigen schaften der Immobilie zu äussern, die sich auf den Verkehrswert auswirken können (wie Grundstücksfläche, Anzahl Zimmer, Ausbaustandard, Lage, wirtschaft liche und touristische Bedeutung der Gegend; Urteile des Bundesgerichts 9C_776/2019 vom 17. November 2020 E. 4.2 und E. 5.1 sowie 9C_540/2009 vom 17. September 2009 E. 5.2-3).</w:t>
      </w:r>
    </w:p>
    <w:p>
      <w:r>
        <w:t>In einem eine Liegenschaft in Tunesien betreffenden Entscheid erkannte das Bun desgericht, der relevante Verkehrswert der Liegenschaft könne durch Ver gleich mit ähnlichen Objekten hinreichend genau geschätzt werden. Massgebende Kri terien seien neben der Grösse des Grundstücks und der Anzahl Zimmer die Lage (verkehrsmässige Erschliessung, Distanz zum Meer) und die Wohnqualität (ruhiges oder lärmiges, vornehmes oder ärmliches Quartier). Von Bedeutung sei auch, ob es ein Objekt für Touristen sei oder aber von Einheimischen bewohnt werde und einen entsprechend tieferen Ausbaustandard aufweise. Als fraglich erachtete das Bundesgericht, ob Verkaufsangebote im Internet eine zuverlässige Grundlage bildeten, und erklärte eine im Ausland erstellte Verkehrs wert schätzung, die auf Geheiss eines lokalen Architekten gemacht worden war, für den Fall, dass eine andere Schätzung durch die Verwaltung nicht mit vernünf tigem Aufwand einholbar sei, als massgeblich (Urteil des Bundesgerichts 9C_540/2009 vom 17.</w:t>
      </w:r>
    </w:p>
    <w:p>
      <w:r>
        <w:t>September 2009 E.</w:t>
      </w:r>
    </w:p>
    <w:p>
      <w:r>
        <w:t>5.3). Im Falle einer Wohnliegenschaft in Frankreich hat das Bundesgericht auf eine aktuelle Schätzung eines französischen Architekten abgestellt (Urteil des Bundesgerichts P 25/01 vom 26.</w:t>
      </w:r>
    </w:p>
    <w:p>
      <w:r>
        <w:t>Juni 2001 E.</w:t>
      </w:r>
    </w:p>
    <w:p>
      <w:r>
        <w:t>3a).</w:t>
      </w:r>
    </w:p>
    <w:p>
      <w:r>
        <w:t>Bezüglich einer Liegenschaft in Italien stellte das Bundesgericht nicht auf ein Parteigutachten eines Architekten ab, da die Immobilie und weitere für deren Verkehrswert relevante Faktoren wie die Lage und die wirtschaftliche sowie tou ristische Bedeutung der Region im Gutachten nicht ausreichend detailliert beschrieben wurden (Urteil des Bundesgerichts 9C_776/2019 vom 1 7. November 2020 E. 5.1). Die durch die Verwaltung vorgenommene behelfsmässige Verkehrs wertberechnung durch das Heranziehen der Verkaufspreise von vier im Internet ausgeschriebenen Liegenschaften schützte es ebenfalls nicht. Es argumentierte, die verwendeten Daten von Immobilien-Webseiten seien sehr partiell (Urteil des Bundesgerichts 9C_776/2019 vom 1 7. November 2020 E. 5.2). Es erachtete es angesichts der Besonderheiten des Falles, in dem keine andere Methode anwend bar sei, aber als gerechtfertigt, den Verkehrswert anhand der Regeln für die Bewertung der Grundstücke bei interkantonalen Steuerausscheidungen zu bestim men. Konkret bedeutete dies, dass der italienische Steuerwert mit dem Repartitionswert des betreffenden Kantons Graubünden von 140 % zu multi pli zieren war (Urteil des Bundesgerichts 9C_776/2019 vom 1 7. November 2020 E.</w:t>
      </w:r>
    </w:p>
    <w:p>
      <w:r>
        <w:t>5.3). 3.</w:t>
      </w:r>
    </w:p>
    <w:p>
      <w:r>
        <w:rPr>
          <w:b/>
        </w:rPr>
        <w:t>E. 5</w:t>
      </w:r>
    </w:p>
    <w:p>
      <w:r>
        <w:t>Die Beschwerdeführerin reichte ein e Registrationserklärung « Información</w:t>
      </w:r>
    </w:p>
    <w:p>
      <w:r>
        <w:t>Regist ral » vo m 9. November 2018 (Urk. 7/19 S. 3-4) und den beglaubigten Kaufvertrag vom 6. April 1999 (Urk. 7/15) ein, aus welche n hervorgeht , dass die Liegenschaft vom Ehemann der Beschwerdeführerin im Jahre 1999 zu einem Preis von 7</w:t>
      </w:r>
    </w:p>
    <w:p>
      <w:r>
        <w:t>Millionen Sucres , der bis zum September 2000 gültig gewesenen Währung von Ecu ador (vgl. Urk. 7/25),</w:t>
      </w:r>
    </w:p>
    <w:p>
      <w:r>
        <w:t>erworben wurde. Dabei handelt es sich um die B.___ in der Gemeinde C.___ , Cantón</w:t>
      </w:r>
    </w:p>
    <w:p>
      <w:r>
        <w:t>Otavalo , Provincia de Imbabura , einer Liegenschaft auf der Höhe von rund 3’000 Metern mit Umschwung und mit einer</w:t>
      </w:r>
    </w:p>
    <w:p>
      <w:r>
        <w:t>Gesamtfläche von rund 61 Hektaren inklusive eines Betriebes zur Milchproduktion (vgl. Auszug aus dem Eigentumsregister der Pro vinz Otavalo vom 12.</w:t>
      </w:r>
    </w:p>
    <w:p>
      <w:r>
        <w:t>April 2022, Urk.</w:t>
      </w:r>
    </w:p>
    <w:p>
      <w:r>
        <w:t>7/19 S. 3-5) .</w:t>
      </w:r>
    </w:p>
    <w:p>
      <w:r>
        <w:t>Ferner reichte die Beschwer deführerin</w:t>
      </w:r>
    </w:p>
    <w:p>
      <w:r>
        <w:t>eine Steuerbescheinigung über die jährliche (ländliche) Grundsteuer « impuesto</w:t>
      </w:r>
    </w:p>
    <w:p>
      <w:r>
        <w:t>predial</w:t>
      </w:r>
    </w:p>
    <w:p>
      <w:r>
        <w:t>rustico »</w:t>
      </w:r>
    </w:p>
    <w:p>
      <w:r>
        <w:t>für das Jahr 2022 von US $ 101.39 bei einem Steuer wert der Liegenschaft von US$</w:t>
      </w:r>
    </w:p>
    <w:p>
      <w:r>
        <w:t>123'916.43 (Urk. 7/13 S.</w:t>
      </w:r>
    </w:p>
    <w:p>
      <w:r>
        <w:t>2) sowie selbst erstellte Fotos der Hacienda mit Aussen- und Innenansicht (Urk. 7/18) ein . Darüber hinaus legte sie einen Mäklervertrag</w:t>
      </w:r>
    </w:p>
    <w:p>
      <w:r>
        <w:t>vom 7. August 2021 mit einjähriger Laufzeit zum Verkauf der Liegenschaft zu einem Preis von US$ 260'000. -- und ,</w:t>
      </w:r>
    </w:p>
    <w:p>
      <w:r>
        <w:t>unabhängig davon, ob ein höherer oder tieferer Verkaufspreis erzielt wird, einer Provision von 3</w:t>
      </w:r>
    </w:p>
    <w:p>
      <w:r>
        <w:t>% des Verkaufspreises ins Recht (Urk. 7/20).</w:t>
      </w:r>
    </w:p>
    <w:p>
      <w:r>
        <w:t>Der Aufforderung der Beschwerdegegnerin, eine aktuelle Verkehrswertschätzung einzureichen, kam die Beschwerdeführer in nicht nach, sondern wies darauf hin, dass ihr der Immobilienmakler seine schriftliche Einschätzung des Verkaufswertes nicht zugestellt habe. Sollte es jedoch zu einem Notverkauf kommen, sei mit einem</w:t>
      </w:r>
    </w:p>
    <w:p>
      <w:r>
        <w:t>dem Steuerwert entsprechenden Mindesterlös von U S $ 120'000.-- zu rech nen (vgl. E-Mail vom 8. April 2022, Urk.</w:t>
      </w:r>
    </w:p>
    <w:p>
      <w:r>
        <w:rPr>
          <w:b/>
        </w:rPr>
        <w:t>E. 7</w:t>
      </w:r>
    </w:p>
    <w:p>
      <w:r>
        <w:t>Die vorliegenden Unterlagen erlauben</w:t>
      </w:r>
    </w:p>
    <w:p>
      <w:r>
        <w:t>folglich</w:t>
      </w:r>
    </w:p>
    <w:p>
      <w:r>
        <w:t>keine hinreichend zuverlässige Schätzung des strittigen Verkehrswerts . Auch ist den Ausführungen der Beschwerdeführerin zu entnehmen, dass es kein Dokument in Ecuador gebe, welches eine offizielle Marktwertschätzung beinhalte. Ausserdem bedürfe die Beibringung solcher Unterlagen in Ecuador mehrerer persönliche r Vorsprechen , was ihren bereits 75-jährig en Ehemann Kraft koste, zumal die B.___ abgelegen sei und rund 20 Minuten mit dem Auto von Otavalo entfernt liege (Urk. 7/33).</w:t>
      </w:r>
    </w:p>
    <w:p>
      <w:r>
        <w:t>Unter Berücksichtigung dieser geltend gemachten Schwierig keiten zur Beibringung einer genaueren Schätzung respektive des hierfür anfal lenden Aufwandes - womit es sich praktisch als unmöglich erweist, den Verkehrs wert festzulegen - erachtet es die Rechtsprechung als zulässig, als letztes Mittel anstelle des Verkehrswertes auf ausländische Kataster- beziehungsweise Steuer werte, die offensichtlich unter dem Verkehrswert liegen, abzustellen (vorstehend E. 3.4) .</w:t>
      </w:r>
    </w:p>
    <w:p>
      <w:r>
        <w:t>Die Verwendung von Steuerwerten führt lediglich zu einer schematischen Schätzung und nimmt keine Rücksicht auf die individuellen Gegebenheiten. Sie kann nur dann verwendet werden, wenn eine genauere Schätzung nicht möglich oder nur mit einem unverhältnismässigen Aufwand erhältlich ist oder von der versicherten Person akzeptiert wird , was vorliegend und zu Gunsten der Beschwerdeführerin der Fall ist .</w:t>
      </w:r>
    </w:p>
    <w:p>
      <w:r>
        <w:t>D er Steuerwert ist mit dem Repartitionswert des betreffenden Kantons für die Bewertung der Grundstücke bei interkantonalen Steuerausscheidungen zu multiplizieren (Art. 17a Abs. 6 ELV) .</w:t>
      </w:r>
    </w:p>
    <w:p>
      <w:r>
        <w:t>Der Repartitions wert für den Kanton Zürich beträgt seit dem Jahr 2019 115</w:t>
      </w:r>
    </w:p>
    <w:p>
      <w:r>
        <w:t>% (vgl. Kreisschreiben 22 vom 22. März 2018 der Schweizerischen Steuerkonferenz ; www.steuerkonfe renz.ch ) . D emzufolge ist der Steuerwert der der Liegenschaft in Ecuador mit dem Faktor 1 . 15 zu multiplizieren, was einen Vermögenswert von gerundet US$</w:t>
      </w:r>
    </w:p>
    <w:p>
      <w:r>
        <w:t>142'50 3.90 (U S $</w:t>
      </w:r>
    </w:p>
    <w:p>
      <w:r>
        <w:t>123'916.4 3 x 1.15) ergibt.</w:t>
      </w:r>
    </w:p>
    <w:p>
      <w:r>
        <w:t>Multipliziert mit dem Wechsel kurs am 31. Dezember 2021</w:t>
      </w:r>
    </w:p>
    <w:p>
      <w:r>
        <w:t>von 0.91 resultiert ein anrechenbarer Vermögenswert der Liegenschaft in Ecuador von rund Fr. 129'98 4.80 (vgl. European Central Bank, Currency Converter, www. https://sdw.ecb.europa.eu ).</w:t>
      </w:r>
    </w:p>
    <w:p>
      <w:r>
        <w:t>Aus dem E-Mail-Verkehr mit der Beschwerdegegnerin im April 2022 geht hervor, dass die Liegenschaft hypothekenfrei sei (Urk.</w:t>
      </w:r>
    </w:p>
    <w:p>
      <w:r>
        <w:t>7/33) , womit kein Schuldabzug zu berücksichtigen ist. Zudem wurden keine Ausgaben für den Gebäudeunterhalt geltend gemacht und solche sind auch in den Akten nicht ersichtlich.</w:t>
      </w:r>
    </w:p>
    <w:p>
      <w:r>
        <w:t>Die Beschwerdegegnerin hat den Liegenschaftswert in der Anspruchsb erechnung zur Hälfte angerechnet (Urk. 7/39) . Dies wurde von der Beschwerdeführerin nicht beanstandet (Urk. 1 ; Urk. 7/41 ). Folglich ist in der Anspruchsberechnung der Wert von Fr. 64'992. 4 0 zu berücksichtigen (Fr. 129'98 4. 80 : 2).</w:t>
      </w:r>
    </w:p>
    <w:p>
      <w:r>
        <w:t>3.</w:t>
      </w:r>
    </w:p>
    <w:p>
      <w:r>
        <w:rPr>
          <w:b/>
        </w:rPr>
        <w:t>E. 8</w:t>
      </w:r>
    </w:p>
    <w:p>
      <w:r>
        <w:t>Die Liegenschaft in Ecuador wird vom Ehemann der Beschwerdeführerin bewohnt, die Beschwerdeführerin erhält dafür aber unbestrittenermassen keine Gegenleistung, etwa in Form eines Mietzinses. Die Beschwerdegegnerin hat kei nen E r trag, w elchen die Beschwerdeführerin bei der Vermietung der Liegenschaft erzielen könnte, als Verzichtseinkommen a ngerechnet ( Urk. 7/36; Urk. 7/39).</w:t>
      </w:r>
    </w:p>
    <w:p>
      <w:r>
        <w:t>Dies ist vorliegend aufgrund der Familienverhältnisse</w:t>
      </w:r>
    </w:p>
    <w:p>
      <w:r>
        <w:t>und auch unter Berücksichti gung des Umstandes, wonach die Liegenschaft so rasch als möglich verkauft wer den soll und der Ehemann der Beschwerdeführer die Immobilie solange auch nicht verlassen könne (vgl. Urk. 1 S. 1) , nicht zu beanstanden. 3.</w:t>
      </w:r>
    </w:p>
    <w:p>
      <w:r>
        <w:rPr>
          <w:b/>
        </w:rPr>
        <w:t>E. 9</w:t>
      </w:r>
    </w:p>
    <w:p>
      <w:r>
        <w:t>Nach dem Gesagten ist anstelle des von der Beschwerdegegnerin angerechneten Verkehrswerts der Liegenschaft in Ecuador von anteilsmässig Fr. 118 ’ 579 .-- ein Wert von rund Fr. 64'992.-- in die Berechnung aufzunehmen. Durch den um Fr.</w:t>
      </w:r>
    </w:p>
    <w:p>
      <w:r>
        <w:t>53’587 .-- geringeren hälftigen Wert der Liegenschaft wird das im Berech nungsblatt zur Verfügung vom 17.</w:t>
      </w:r>
    </w:p>
    <w:p>
      <w:r>
        <w:t>Mai 2022 (welche mit dem angefochtenen Einspracheentscheid bestätigt wurde) berücksichtigte Gesamtvermögen von Fr.</w:t>
      </w:r>
    </w:p>
    <w:p>
      <w:r>
        <w:t>1 33’724 .-- (Urk.</w:t>
      </w:r>
    </w:p>
    <w:p>
      <w:r>
        <w:t>7/39 S.</w:t>
      </w:r>
    </w:p>
    <w:p>
      <w:r>
        <w:t>2) auf Fr . 80’137 .-- reduziert. Nach Abzug der Ver mögensfreigrenze von Fr.</w:t>
      </w:r>
    </w:p>
    <w:p>
      <w:r>
        <w:t>3 0’000 .-- verbleibt ein Vermögen von Fr . 50’137 .--, wobei bei den Einnahmen ein Zehntel dieses Vermögens, also Fr. 5'013.70 als jährlicher Vermögensverzehr anzurechnen ist.</w:t>
      </w:r>
    </w:p>
    <w:p>
      <w:r>
        <w:t>Bezüglich dieser beiden Positionen ist die Berechnung der Durchführungsstelle zu modifizieren. 3.</w:t>
      </w:r>
    </w:p>
    <w:p>
      <w:r>
        <w:rPr>
          <w:b/>
        </w:rPr>
        <w:t>E. 10</w:t>
      </w:r>
    </w:p>
    <w:p>
      <w:r>
        <w:t>Die übrigen Punkte in der Berechnung wurden weder beanstandet, noch geben sie zu Weiterungen Anlass (vgl. vorstehend E. 2.3).</w:t>
      </w:r>
    </w:p>
    <w:p>
      <w:r>
        <w:t>Die Beschwerde ist daher in dem Sinne gutzuheissen, dass die Sache an die Beschwerdegegnerin zurückgewiesen wird, damit sie den Leistungsanspruch der Beschwerdeführerin ab März 2022 unter Anrechnung des korrigierten Vermögens und des Vermögensverzehrs ermittle und darüber neu verfüge. Ausserdem hat die Beschwerdeführerin jährlich Auszüge über die aktuellen Eigentumsverhältnisse der Liegenschaft in Ecuador beizubringen respektive diese sind von der Beschwer degegnerin einzufordern . Auch hat die Beschwerdeführerin einen allfälligen Ver kauf der Immobilie der Beschwerdegegnerin umgehen d zu melden.</w:t>
      </w:r>
    </w:p>
    <w:p>
      <w:r>
        <w:t>4.</w:t>
      </w:r>
    </w:p>
    <w:p>
      <w:r>
        <w:t>Das Verfahren ist kostenlos (Art. 61 lit . f bis</w:t>
      </w:r>
    </w:p>
    <w:p>
      <w:r>
        <w:t>des Bundesgesetzes über den Allge meinen Teil des Sozialversicherungsrechts , ATS G) . Das Gericht erkennt: 1.</w:t>
      </w:r>
    </w:p>
    <w:p>
      <w:r>
        <w:t>Die Beschwerde wird in dem Sinne gutgeheissen, dass der angefochtene Einsprache entscheid vom 23. Juni 202 2 aufgehoben und die Sache an die Stadt Y.___ , Durch führungsstelle für Zusatzleistungen zur AHV/IV, zurückgewiesen wird , damit diese den Leistungsanspruch der Beschwerdeführerin ab März 2022 im Sinne der Erwägungen neu berechne .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