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ZL.2021.00063 vom 30. Juni 2022</w:t>
      </w:r>
    </w:p>
    <w:p>
      <w:r>
        <w:t>ZH Sozialversicherungsgericht, 2022-06-30, DE</w:t>
      </w:r>
    </w:p>
    <w:p>
      <w:r>
        <w:rPr>
          <w:b/>
        </w:rPr>
        <w:t xml:space="preserve">Quelle: </w:t>
      </w:r>
      <w:r>
        <w:t>https://mcp.opencaselaw.ch/entscheid/zh_sozialversicherungsgericht_ZL.2021.00063</w:t>
      </w:r>
    </w:p>
    <w:p>
      <w:r>
        <w:t>FR: ZH_SOZIALVERSICHERUNGSGERICHT ZL.2021.00063 du 30 juin 2022</w:t>
      </w:r>
    </w:p>
    <w:p>
      <w:r>
        <w:t>IT: ZH_SOZIALVERSICHERUNGSGERICHT ZL.2021.00063 del 30 giugno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1965, bezieht seit Mai 2004 über die Stadt Dietikon Zusatzleistungen zu seiner ganzen Rente der Invalidenversicherung (vgl. die Verfügung der Sozialversicherungsanstalt des Ka ntons Zürich, IV-Stelle, vom 2. Dezember 2003, Urk. 11/3 , und</w:t>
      </w:r>
    </w:p>
    <w:p>
      <w:r>
        <w:t>die Verfüg ungen der Stadt Dietikon vom 7. Juni 2004 und vom 1 8. Mai 2005 , Urk. 11/A+B, sowie die nachfolgenden Verfügungen im Dossier der Stadt Dietikon , Durchführungsstelle für Zusatz leistungen zur AHV/IV, Urk. 11/1-400 und Urk. 11/G1-G16 ); in die Berechnung einbezogen waren bei der erstmaligen Leistungszusprechung die Ehefrau Y.___ , geboren 1963, der Sohn Z.___ , geboren 1989, die Tochter A.___ , geboren 1992, und der Sohn B.___ , geboren 2000 (vgl. Urk. 11/A).</w:t>
      </w:r>
    </w:p>
    <w:p>
      <w:r>
        <w:rPr>
          <w:b/>
        </w:rPr>
        <w:t>E. 1.2</w:t>
      </w:r>
    </w:p>
    <w:p>
      <w:r>
        <w:t>Die Ehefrau Y.___ meldete sich im August 2007 ebenfalls bei der Invalidenversicherung an ( Urk. 14/2); die IV-Stelle verneinte jedoch den Anspruch auf eine Invalidenrente mit Verf ügung vom 7. Februar 2008 (Urk. 14/15).</w:t>
      </w:r>
    </w:p>
    <w:p>
      <w:r>
        <w:t>Die Stadt D ietikon zog deshalb in Betracht, Y.___ zwecks Schadenminderung zur Aufnahme e iner Erwerbstätigkeit zu motivieren (vgl. die Aktennotiz vom 8. Januar 2008, Urk. 11/34), und kündigte schliesslich mit Verfügung vom 2 6. Septe mber 2012 an, bei der Zusatz leistungsberechnung ab April 2013 ein Mindesterwerbseinkommen der Ehefrau von Fr. 24'000.-- im Jahr zu berücksichtigen ( Urk. 11/151; vgl. auch die Aktennotiz vom 2 6. September 2012, Urk. 11/112). Dieser Ankündigung kam sie mit den Verfügungen vom 11. März 2013 (Jahr 2013) und vom 1 2. Dezember 2013 (J ahr 2014) nach, beschränkte aber das angerechnete Erwer bseinkommen der Ehefrau auf Fr. 19'210 .--</w:t>
      </w:r>
    </w:p>
    <w:p>
      <w:r>
        <w:t>im Jahr ( Urk. 11/154 und</w:t>
      </w:r>
    </w:p>
    <w:p>
      <w:r>
        <w:t>Urk. 11 /155 ).</w:t>
      </w:r>
    </w:p>
    <w:p>
      <w:r>
        <w:t>In der Korrespondenz zur Anrechnung von Erwerbseinkommen der Ehefrau hatten sich die Eheleute auf den angeschlagenen Gesundheitszustand von Y.___ berufen (Eingabe vom 8. März 2013, Urk. 11/121); die Stadt Dietikon hatte jedoch an der Anrechnung des hypothetischen Einkommens festgehalten und Y.___ zur Anmeldung bei der Arbeitslosenver sicherun g und zur Wiederanmeldung bei der Invalidenversicherung angehalten (Schreiben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