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ZL.2021.00044 vom 24. Oktober 2022</w:t>
      </w:r>
    </w:p>
    <w:p>
      <w:r>
        <w:t>ZH Sozialversicherungsgericht, 2022-10-24, DE</w:t>
      </w:r>
    </w:p>
    <w:p>
      <w:r>
        <w:rPr>
          <w:b/>
        </w:rPr>
        <w:t xml:space="preserve">Quelle: </w:t>
      </w:r>
      <w:r>
        <w:t>https://mcp.opencaselaw.ch/entscheid/zh_sozialversicherungsgericht_ZL.2021.00044</w:t>
      </w:r>
    </w:p>
    <w:p>
      <w:r>
        <w:t>FR: ZH_SOZIALVERSICHERUNGSGERICHT ZL.2021.00044 du 24 octobre 2022</w:t>
      </w:r>
    </w:p>
    <w:p>
      <w:r>
        <w:t>IT: ZH_SOZIALVERSICHERUNGSGERICHT ZL.2021.00044 del 24 ottobre 2022</w:t>
      </w:r>
    </w:p>
    <w:p>
      <w:pPr>
        <w:pStyle w:val="Heading2"/>
      </w:pPr>
      <w:r>
        <w:t>Erwägungen</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 siche rung (ELG) und der Verordnung über Ergänzungsleistungen zur Alters-, Hinter lassenen- und Invalidenversicherung (ELV) wie auch des kantonalrechtlichen Zusatzleistungsgesetzes (ZLG) und der Zusatzleistungs verordnung (ZLV) in Kraft getreten. Gemäss den allgemeinen übergangs recht lichen Regeln sind der Beurtei lung vorbehältlich besonderer übergangs rechtlicher Regelungen jene Rechtsnor men zu Grunde zu legen, die in Geltung standen, als sich der zu den materiellen Rechtsfolgen führende und somit rechts 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(EL), für welche die EL-Reform insgesamt einen tieferen Betrag der jährlichen Ergänzungsleistungen oder einen Verlust des Anspruchs auf eine jährliche Ergänzungsleistung zur Folge hat, während dreier Jahre ab Inkrafttreten dieser Änderung das bisherige Recht (Abs. 1). Um zu bestimmen, ob das alte oder das neue Recht vorteilhafter ist, sind die Ergänzungsleistungen bei laufenden Fällen per 1. Januar 2021 einmal nach dem alten und einmal nach dem neuen Recht zu berechnen (vgl. Kreisschreiben zum Übergangsrecht der EL-Reform, KS-R EL, Stand 1.</w:t>
      </w:r>
    </w:p>
    <w:p>
      <w:r>
        <w:t>Januar 2021, Rz 2101). Als laufende EL-Fälle gelten Fälle, in denen der Anspruch auf Ergänzungs leis tungen - wie gegebenenfalls im vorliegenden Fall</w:t>
      </w:r>
    </w:p>
    <w:p>
      <w:r>
        <w:t>- vor dem 1. Januar 2021 ent standen ist (KS-R EL Rz 1302).</w:t>
      </w:r>
    </w:p>
    <w:p>
      <w:r>
        <w:rPr>
          <w:b/>
        </w:rPr>
        <w:t>E. 1.2</w:t>
      </w:r>
    </w:p>
    <w:p>
      <w:r>
        <w:t>Hier bildet der Anspruch auf Zusatzleistungen ab dem 1. November 2018 den Gegenstand des Verfahrens (Urk. 2). Laut der Verfügung vom 8. April 2021, die am gleichen Tag wie der dazugehörige Einspracheentscheid erging, wurde der Anspruch des Beschwerdeführers auf Zusatzleistungen hinsichtlich der An spruchsperiode ab Januar 2021 nach dem neuen Recht bestimmt (Urk. 5/2 S. 13) , da dies im Ver gleich mit d er ZL-Anspruchsberechnung nach altem Recht vorteilhafter für den Beschwerdeführer sei (Urk. 5/3). Aus der Vergleichsrechnung ergibt sich indes, dass der Beschwerdeführer einen Leistungsanspruch nach neuem Recht um Fr. 14'489.-- verfehlt (Urk. 5/2 S. 13), währenddem nach altem Recht seine Einnahmen die Ausgaben lediglich um Fr. 9'765.-- überst ei gen (Urk. 5/3 S. 2) . Die nach neuem Recht unvorteilhaftere Berechnung rührt allerdings daher, dass in der Berechnung nach neuem Recht die Ausgaben für die obligato rische Krankenpflegeversicherung (vgl. Art. 10 Abs. 3 lit. d ELG in der ab 1. Januar 2021 geltenden Fassung ) in der Höhe der tatsächlichen Prämie bezie hungsweise von maximal Fr. 5'640.-- (Prämienregion</w:t>
      </w:r>
    </w:p>
    <w:p>
      <w:r>
        <w:t>2) fehlen (vgl. Urk. 5/2 S. 13) , da diese direkt dem Krankenversicherer ausbezahlt werden (Art. 21a Abs. 1 ELG) .</w:t>
      </w:r>
    </w:p>
    <w:p>
      <w:r>
        <w:t>Lag die effektive Krankenkassenprämie</w:t>
      </w:r>
    </w:p>
    <w:p>
      <w:r>
        <w:t>in der Zeit ab 1. Januar 2021 nicht tiefer als die Durchschnittsprämie - w elche gemäss Art. 10 Abs. 3 lit d ELG in der bis 31. Dezember 2020 in Kraft gewesenen Fassung zur Auszahlung gelangte - , was anhand der vorliegenden Akten nicht ersichtlich ist, so würde sich tatsächlich das neue Recht bei einem Einnahmenüberschuss von Fr. 8'849.-- (Fr. 14'489.-- minus Fr. 5'640.-- ; respektive Einnahmen von Fr. 48'833.-- minus Ausgaben von Fr. 39'984.-- [Fr. 34'344.-- plus Fr. 5'640.--] ) als für den Beschwerdeführer vor teilhafter erweisen . Lag die effektive Krankenkassenprämie in diesem Zeitraum hingegen weit unter der Durchschnittsprämie - nämlich unter Fr. 4'724.-- -, würde nach dem neuen Recht (vgl. Art.</w:t>
      </w:r>
    </w:p>
    <w:p>
      <w:r>
        <w:rPr>
          <w:b/>
        </w:rPr>
        <w:t>E. 1.3</w:t>
      </w:r>
    </w:p>
    <w:p>
      <w:r>
        <w:t>Der Bund und die Kantone gewähren Personen, welche die gesetzlichen Voraus setzungen nach Art. 4-6 ELG erfüllen, Zusatzleis tungen zur Deckung ihres Exis tenzbedarfs (Art. 2 Abs. 1 ELG; §§ 1, 13 und 20 Abs. 1 ZLG).</w:t>
      </w:r>
    </w:p>
    <w:p>
      <w:r>
        <w:t>Die jährliche Ergänzungsleistung entspricht dem Betrag, um den die anerkannten Ausgaben die anrechenbaren Einnahmen übersteigen (Art. 9 Abs. 1 ELG).</w:t>
      </w:r>
    </w:p>
    <w:p>
      <w:r>
        <w:t>Der Gesamtbetrag der jährlichen Ergänzungsleistung hat jedoch mindestens der Höhe der Prämienverbilligung zu entsprechen, auf den die Bezügerinnen und Bezüger von jährlichen Ergänzungsleistungen Anspruch haben (Art. 26 ELV). 2.</w:t>
      </w:r>
    </w:p>
    <w:p>
      <w:r>
        <w:rPr>
          <w:b/>
        </w:rPr>
        <w:t>E. 1.4</w:t>
      </w:r>
    </w:p>
    <w:p>
      <w:r>
        <w:t>Dagegen erhob der Versicherte am 17 . September 2020 (Datum Eingang bei der Stadt Winterthur) für sich sowie für seine Tochter Y.___ Einsprache (Urk. 18/19). Mit Einspracheentscheid vom 8. April 2021 wies die Stadt Win terthur die Einsprache sowohl hinsichtlich der Anrechnung des Erwerbseinkom mens als auch hinsichtlich der Unterhaltszahlungen an die Tochter Y.___ sowie an die geschiedene Ehefrau ab, trat auf die Einsprache bezüglich der geltend gemachten Krankheits- und Behinderungskosten nicht ein und hielt fest, infolge Fehler bei der Anrechnung des Wertes des Freizügigkeitskontos sowie der Prämienbefreiungsgutschriften stehe ihm für die Zeit von November 2018 bis August 2019 eine Nachzahlung in der Höhe von Fr. 1'412.-- zu. Diesbezüglich verwies sie auf die Bestandteil des Einspracheentscheides bildende Verfügung vom 8. April 2021 (Urk. 18/17 = Urk. 2).</w:t>
      </w:r>
    </w:p>
    <w:p>
      <w:r>
        <w:t>Mit der besagten, zum gleichentags erlassenen Einspracheentscheid gehörende n Verfügung vom 8. April 2021 berechnete die Stadt Winterthur den Anspruch des Versicherten auf Zusatzleistungen für die Zeit von November 2018 bis August 2019 neu und gelangte zu einem Nachzahlungsbetrag von total Fr. 1'412.-- (Fr. 1'398.-- Prämienverbilligung sowie Fr. 14.-- Zusatzleistung; Urk. 18/14 -15</w:t>
      </w:r>
    </w:p>
    <w:p>
      <w:r>
        <w:t>= Urk. 5/2 ).</w:t>
      </w:r>
    </w:p>
    <w:p>
      <w:r>
        <w:rPr>
          <w:b/>
        </w:rPr>
        <w:t>E. 2</w:t>
      </w:r>
    </w:p>
    <w:p>
      <w:r>
        <w:t>.2</w:t>
      </w:r>
    </w:p>
    <w:p>
      <w:r>
        <w:t>Mit weiterer Eingabe vom 12. Mai 2021 (Urk. 5/1) erhob X.___</w:t>
      </w:r>
    </w:p>
    <w:p>
      <w:r>
        <w:t>hierorts sodann - ebenfalls für sich und seine Tochter - eine als «Einsprache» bezeichnete Beschwerde gegen die Verfügung der Stadt Winterthur, Zusatz leistun gen zur AHV/IV der Stadt Winterthur, vom 8. April 2021 betreffend Neuberechnung der Zusatzleistungen für die Zeit ab November 2018 (Urk. 5/ 2), welche Bestandteil des unter vorstehender Ziffer 1 .</w:t>
      </w:r>
    </w:p>
    <w:p>
      <w:r>
        <w:rPr>
          <w:b/>
        </w:rPr>
        <w:t>E. 2.1</w:t>
      </w:r>
    </w:p>
    <w:p>
      <w:r>
        <w:t>Die Beschwerdegegnerin stellte sich in den angefochtenen Entscheiden zusam mengefasst auf den Standpunkt, der Beschwerdeführer arbeite seit dem 2. September 2019 bei der Z.___ und habe gemäss den Lohnabrechnungen vom Sep tember 2019 bis März 2020 ein Einkommen von Fr. 3'820.-- pro Jahr erzielt. Vom Nettoerwerbseinkommen werde ein Freibetrag von Fr. 1'000.-- pro Jahr abgezo gen und hernach würden zwei Drittel (pr ivilegiert) angerechnet (Urk. 2 S. 2).</w:t>
      </w:r>
    </w:p>
    <w:p>
      <w:r>
        <w:t>Betreffend Unterhaltszahlungen führte die Beschwerdegegnerin aus, sie habe dem Beschwerdeführer Frist angesetzt, um bis am 20. November 2019 beim zuständi gen Gericht die Abänderung seines Scheidungsurteils zu verlangen. Da er dieser Aufforderung nicht nachgekommen sei, habe sie - wie es in der Wegleitung über die Ergänzungsleistungen zur AHV und IV (WEL) vorgesehen sei - ab Dezember 2019 keine Unterhaltsbeiträge für die Ex-Frau mehr in die Berechnung aufge nommen (Urk. 2 S. 2-3). Die Unterhaltsbeiträge für die Toch t er Y.___ , die Beschwerdeführerin , seien dem Beschwerdeführer gemäss WEL nicht als Aus gaben anzurechnen, da für die Tochter mittlerweile Kinderrente n in einem den vereinbarten Unterhaltsbeitrag übersteigenden Ausmass zugesprochen worden seien (Urk. 2 S. 3-4). Der allgemeine Lebensbedarf sowie die Hälfte des Mietzinses der obhutsberechtigten Kindsmutter seien der Beschwerdeführerin als Bedarf angerechnet worden , sodass die Kindsmutter für die beim Beschwerdeführer für die Tochter entstehenden Unterhaltskosten aufkommen könne (Urk. 2 S. 4).</w:t>
      </w:r>
    </w:p>
    <w:p>
      <w:r>
        <w:t>Hinsichtlich der geltend gemachten Krankheits- und Behinderungskosten hielt sie fest, darüber werde eine separate einsprachefähige Verfügung erlass en (Urk. 2 S. 4).</w:t>
      </w:r>
    </w:p>
    <w:p>
      <w:r>
        <w:t>Des Weiteren führte sie aus, Kapitalsummen der 2 . und 3. Säule seien ab dem Zeitpunkt beim Vermögen anzurechnen, in welchem die versicherte Person diese beziehen könne - also mit dem Erhalt der ganzen Invalidenrente (Urk. 2 S. 4). In Korrektur der dem Einspracheentscheid zu Grunde liegenden Verfügung vom 13. August 2020 habe sie indes die bei der Auszahlung des Kapitals anfallenden Steu ern in der Höhe von total Fr. 1'544.75 (Fr. 1'514.05 und Fr. 30.70) abzuziehen. Zudem habe sie die Prämienbefreiungsgutschriften der A.___ zu Unrecht als Einnahmen angerechnet, was ebenfalls zu korrigieren sei (Urk. 2 S. 5). Dement sprechend resultiere ein Anspruch des Beschwerdeführers auf Nachzah lung in der Höhe von Fr. 1'412.-- (Prämienverbill igung im Betrag von Fr. 1'398.- sowie Zusatzleistungen von Fr. 14.--; Urk. 5/2).</w:t>
      </w:r>
    </w:p>
    <w:p>
      <w:r>
        <w:rPr>
          <w:b/>
        </w:rPr>
        <w:t>E. 2.2</w:t>
      </w:r>
    </w:p>
    <w:p>
      <w:r>
        <w:t>Die Beschwerdeführenden brachten dagegen</w:t>
      </w:r>
    </w:p>
    <w:p>
      <w:r>
        <w:t>in ihrer Beschwerde vom 12. Mai 2021 (Urk. 1) gegen den Einspracheentscheid vom 8. April 2021 (Urk. 2) sowie in der gleichentags verfassten Einsprache (Urk. 5/1) gegen die als Bestandteil des angefochtenen Einspracheentscheides erlassene Verfügung vom 8. April 2021 (Urk. 5/2)</w:t>
      </w:r>
    </w:p>
    <w:p>
      <w:r>
        <w:t>vor , das vom Beschwerdeführer auf dem zweiten Arbeitsmarkt erzielte Einkommen betrage im Durchschnitt lediglich rund Fr. 300.-- pro Monat und es sei ihm von allen Stellen immer gesagt worden, es dürfe nicht von den Ergän zungsleistungen abgezogen werden (Urk. 1 S. 2).</w:t>
      </w:r>
    </w:p>
    <w:p>
      <w:r>
        <w:t>Des Weiteren machten sie ge ltend, die vom Beschwerdeführer geschuldeten sowie effektiv geleisteten Unterhaltsbeiträge an die Ex-Frau seien in der Berechnung der Ergänzungsleistungen auch über den November 2019 hinaus zu berücksich tigen, da das Bezirksgericht ihm vom Einreichen einer Abänderungsklage abge raten habe und die Nichtberücksichtigung der Unterhaltsbeiträge unverhältnis mässig sei. Zudem liege sein Einkommen nicht tiefer als damals, weshalb ihm ein solches Verfahren unnötige Kosten in der Höhe von mindestens Fr. 3'500.-- ver ursacht hätte respektive verursachen würde (Urk. 1 S. 2). Sodann führten sie an, die Unterhaltsbeiträge für die Beschwerdeführerin sowie die Kosten für deren Aufenthalt beim Beschwerdeführer seien als Ausgaben in die EL-Berechnung auf zunehmen. Ferner gebe es durch die Kinderrente keinen Überschuss, sondern die ser werde für den Unterhalt der Beschwerdeführerin beim Beschwerdeführer ver wendet (Urk. 1 S. 3).</w:t>
      </w:r>
    </w:p>
    <w:p>
      <w:r>
        <w:t>Zudem sei es gesetzeswidrig, das Freizügigkeitskonto anzurechnen (Urk. 1 S. 3).</w:t>
      </w:r>
    </w:p>
    <w:p>
      <w:r>
        <w:t>In ihrer Stellungnahme vom 15. November 2021 (Urk. 13) brachten die Beschwer deführenden zudem vor, die Beschwerdegegnerin habe ihre Aktenführungspflicht verletzt (Urk. 13 S. 2 -3 ) . Dem Beschwerdeführer sei ein zu hohes Erwerbseinkom men angerechnet worden, wovon im Übrigen die Gewinnungskosten abzuziehen seien (Urk. 13 S. 3). Hinzu komme, dass die Beschwerdegegnerin den nacheheli chen Unterhalt bei den Ausgaben des Beschwerdeführers hätte berücksichtigen müssen. Erstens könne er nicht zum Einreichen einer Klage auf Abänderung des Scheidungsurteils verpflichtet werden, da eine solche aussichtslos wäre, und zweitens habe die Beschwerdegegnerin das erforderliche Mahn- und Bedenkzeit verfahren nicht durchgeführt (Urk. 13 S. 4-5). Überdies wäre es betreffend den an die geschiedene Frau zu leistenden Unterhaltsbeitrag unverhältnismässig, ein Abänderungsbegehren zu stellen, da dieser nur befristet bis April 2021 geschuldet sei (Urk. 13 S. 5). Des Weiteren sei der Beschwerdeführer aus gesundheitlichen Gründen offensichtlich nicht in der Lage, ein solches Begehren zu stellen - er würde hierfür einen Rechtsbeistand benötigen , was ebenfalls unverhältnismässige Kosten verursachen würde . Der Beschwerdeführer sei sodann nicht untätig geblieben, sondern habe sich beim Gericht informiert (Urk.</w:t>
      </w:r>
    </w:p>
    <w:p>
      <w:r>
        <w:rPr>
          <w:b/>
        </w:rPr>
        <w:t>E. 2.3</w:t>
      </w:r>
    </w:p>
    <w:p>
      <w:r>
        <w:t>In formeller Hinsicht ist festzuhalten, dass die Beschwerdegegnerin auf die Ein sprache des Beschwerdeführers vom 11. Dezember 2019 hin (Urk. 18/67) auf ihre ursprünglich am 6. Dezember 2019 verfügte Einstellung der Leistung sprüfung wegen Verletzung der Mitwirkungspflicht zurückgekommen ist und mit Verfü gung vom 13. August 2020 über den Leistungsanspruch rückwirkend ab Novem ber 2018 befunden hat (Urk. 18/22 S. 2). Rechtsprechungsgemäss ist bei einer noch nicht in Rechtskraft erwachsene n Verfügung dem objektiven Recht auf möglichst einfache Weise zur Durchsetzung zu verhelfen (BGE 107 V 191) . Es war der Beschwerdegegnerin daher unbenommen , faktisch auf die Verfügung vom 6. Dezember 2019 zurückzukommen und «im Sinne einer Wiedererwägung» (vgl. Urk. 18/62) neu zu entscheiden. Es kann daher - auch aus prozessökonomi schen Gründen - offen bleiben , ob sie das damals hängige</w:t>
      </w:r>
    </w:p>
    <w:p>
      <w:r>
        <w:t>Einspracheverfahren formell hätte erledigen müssen.</w:t>
      </w:r>
    </w:p>
    <w:p>
      <w:r>
        <w:rPr>
          <w:b/>
        </w:rPr>
        <w:t>E. 2.4</w:t>
      </w:r>
    </w:p>
    <w:p>
      <w:r>
        <w:t>Im Weiteren ist festzuhalten, dass de r von den Beschwerdeführenden separat angefochtenen Verfügung vom 8. April 2021 (Urk. 5 /2), welche die Beschwerde gegnerin zum integrierten Bestandteil des angefochtenen Einspracheentscheids erklärt hat (Urk. 2</w:t>
      </w:r>
    </w:p>
    <w:p>
      <w:r>
        <w:t>S. 5 ), kein selbständiger Charakter zukommt. Denn das Ver waltungsverfahren mit Verfügung und Einsprache bildet eine Einheit, und der Einspracheentscheid, mit dem es abgeschlossen wird, tritt an die Stelle der ange fochtenen Verfügung und ersetzt diese, ohne dass eine neue Verfügung zu erlas sen wäre (vgl. BGE 131 V 407 E. 2.1.2 und E. 2.1.2.1). Insofern gilt die Verfügung vom 8. April 2021 mit der Beschwerde vom 12. Mai 2021 (Urk. 1) ohne Weiteres als mitangefochten. Im Folgenden wird daher der besagte Entscheid nicht mehr separat zitiert, sondern es wird dort, wo auf deren Inhalt Bezug genommen wird, nur noch vom angefochtenen Einspracheentscheid gesprochen. 3. 3.1</w:t>
      </w:r>
    </w:p>
    <w:p>
      <w:r>
        <w:t>3.1.1</w:t>
      </w:r>
    </w:p>
    <w:p>
      <w:r>
        <w:t>Gemäss Art. 11 Abs. 1 lit. a ELG werden zwei Drittel der Erwerbseinkünfte in Geld oder Naturalien</w:t>
      </w:r>
    </w:p>
    <w:p>
      <w:r>
        <w:t>als Einnahmen angerechnet , soweit sie bei alleinstehenden Per sonen jährlich Fr. 1'000.-- und bei Ehepaaren und Personen mit rentenberechtig ten Waisen oder mit Kindern, die einen Anspruch auf eine Kinderrente der AHV oder IV begründen, Fr. 1'500.-- übersteigen .</w:t>
      </w:r>
    </w:p>
    <w:p>
      <w:r>
        <w:t>Das Einkommen, das eine invalide Person in einer öffent lichen und gemein nüt zigen privaten Werkstätte im Sinne von Art . 3 Abs . 1 Buchstabe a des Bundesge setz es über die Institutionen zur Förderung der Eingl iederung von invaliden Per sonen</w:t>
      </w:r>
    </w:p>
    <w:p>
      <w:r>
        <w:t>( IFEG ) erzielt, wird bei der Ermittlung der E L als Erwerbseinkommen angerech net. Dies gilt ebenfalls für Vergütungen, die beschränkt arbeitsfähigen Versicherten für von diesen geleistete Ar beit gewährt werden (WEL [ Version vom 1. April 2011, Stand: 1. Januar 2020] Rz 3421.05 ; Carigiet /Koch, Ergänzungsleis tungen zur AHV /IV, 3. Auflage 2021, S. 210 Rz</w:t>
      </w:r>
    </w:p>
    <w:p>
      <w:r>
        <w:t>531 ).</w:t>
      </w:r>
    </w:p>
    <w:p>
      <w:r>
        <w:t>Das jährliche Erwerbseinkommen wird ermittelt, indem vom Brutto erwerbs ein kommen die ausgewiesenen Gewinnungskosten sowie die einkommens abhängi gen obligatorischen Sozialversicherungsbeiträge abgezogen werden (Art. 11a ELV; WEL Rz</w:t>
      </w:r>
    </w:p>
    <w:p>
      <w:r>
        <w:t>3421.04 ) .</w:t>
      </w:r>
    </w:p>
    <w:p>
      <w:r>
        <w:t>Bei Unselbständigerwerbenden können namentlich die Mehrkosten für auswär tige Verpflegung, die Aufwendun gen für Fahrspesen und Berufskleider als Gewinnungs kosten nach Rz 3421.04 vom Bruttoer werbseinkom men abgezogen werden (WEL Rz 3423.03). 3.1.2</w:t>
      </w:r>
    </w:p>
    <w:p>
      <w:r>
        <w:t>Zeitlich massgebend für die Berechnung der jährlichen Ergänzungsleistung sind in der Regel die während des vorausgegangenen Kalenderjahres erzielten anre chenbaren Einnahmen (Art. 23 Abs. 1 ELV). Kann die Person, die eine jährliche Ergänzungsleistung beansprucht, mit der Anmeldung glaubhaft machen, dass sie während des Zeitraumes, für welchen sie die jährliche Ergänzungsleistung begehrt, wesentlich kleinere anrechenbare Einnahmen erzielen werde als während der Berechnungsperiode nach Art. 23 Abs . 1 oder - dem hier nicht einschlägigen - Abs. 2 ELV , so ist auf die mutmasslichen, auf ein Jahr umgerechneten anre chenbaren Einnahmen abzustellen (Art. 23 Abs. 4 ELV) .</w:t>
      </w:r>
    </w:p>
    <w:p>
      <w:r>
        <w:t>Bei Eintritt einer voraussichtlich längere Zeit dauernden Erhöhung der anrechen baren Einnahmen ist die jährliche Ergänzungsleistung herabzusetzen, sofern die Änderung mindestens 120 Franken im Jahr ausmacht (Art. 25 Abs. 1 lit. c ELV). 3.1. 3</w:t>
      </w:r>
    </w:p>
    <w:p>
      <w:r>
        <w:t>Der Beschwerdeführer hat am 2. September 2019 eine Arbeit im Umfang von 50 % bei Z.___ auf dem zweiten Arbeitsmarkt angetreten (Urk. 18/53). Demnach erweist es sich als korrekt, dass die Beschwerdegegnerin das dort erzielte Erwerbs einkommen für die Zeit ab September 2019 privilegiert angerechnet hat.</w:t>
      </w:r>
    </w:p>
    <w:p>
      <w:r>
        <w:t>Der Beschwerdeführer rügte den ab September 2019 angerechneten Betrag von jährlich Fr. 3'582.-- (im Jahr 2019) beziehungsweise Fr. 298.50 monatlich als zu hoch (Urk. 13 S. 3 Ziff. 4). Für das Jahr 2019 sind die von September 2019 bis Dezember 2019 auf ein Jahr hochgerechneten Einkünfte massgebend. Das gilt ebenfalls f ür das Jahr 2020, sofern es nicht zu einer wesentlichen Änderung gekommen ist . Für das Jahr 2021 sind grundsätzlich die im Jahr 2020 erzielten - auf ein Jahr hochgerechne ten</w:t>
      </w:r>
    </w:p>
    <w:p>
      <w:r>
        <w:t>Einkünfte massgebend (vgl. E. 3.1.2 vorstehend). D ie Beschwerdeführe nden beanstandete n zwar die Anrechnung des Erwe rbsankommens an sich (Urk. 1 S. 2) beziehungsweise dessen Höhe (Urk. 13 S. 2), doch machte n nicht geltend, dass d er Beschwerdeführer im Jahr 2020 wesentlich kleinere Einnahmen erzielen werde (Art. 23 Abs. 4 ELV) . Es rechtfertigt sich daher, im strittigen Zeitraum bis zum Erlass des angefochtenen Einspracheentscheids</w:t>
      </w:r>
    </w:p>
    <w:p>
      <w:r>
        <w:t>am 8. April 2021 die Ein künfte des Vorjahres heranzuziehen. Auszugehen ist bei der Festlegung der anrechenbaren Erwerbseinkünfte vom Net tolohn , denn</w:t>
      </w:r>
    </w:p>
    <w:p>
      <w:r>
        <w:t>die obligatorischen Sozialversicherungsbeiträge sind abzuziehen (Art. 10 Abs. 3 lit. c ELG; Müller,</w:t>
      </w:r>
    </w:p>
    <w:p>
      <w:r>
        <w:t>Rechtsprechung des Bundesgerichts zum ELG, 3. Aufl., Zürich 2015,</w:t>
      </w:r>
    </w:p>
    <w:p>
      <w:r>
        <w:t>Rz 299 zu Art. 11 ELG). Das Schnuppergeld in der Höhe von Fr. 31.-- brutto wurde zwar zusammen mit dem Septemberlohn 2019 abgerechnet (Urk. 18/54 S. 7) , doch ist es nicht vom per 2. September 2019 abgeschlossenen Arbeitsvertrag mitumfasst (Urk. 18/53). Daraus sowie mit Blick auf den Sinn des Schnupperns muss geschlossen werden, dass das Schnuppern bereits vor September 2019 beziehungsweise vor der ver tragsgemässen Arbeitsaufnahme stattgefunden hat. Es ist daher aus dem Septem berlohn herauszurechnen und mangels Dauerhaftigkeit nicht bei den Einnahmen des Beschwerdeführers zu berücksichtigen. Beim monatlich abgezogenen «Kaffeegeld» ist aufgrund der schwankenden Höhe davon auszugehen, dass die Höhe des Abzugs vom jeweiligen (Kaffee-)Bezug des Beschwerdeführers abhing und es sich demnach um freiwillig getätigte Ausgaben handelte, welche nicht a priori vom Nettolohn abzuziehen sind. Selbst falls dem nicht so sein sollte, hat der Beschwerdeführer auf jeden Fall Lebensmittel in die sem Betrag erhalten, was als Naturallohnanteil interpretiert werden könnte. Naturalleistungen in Form von Verpflegung gehören ebenfalls zu den anrechen baren Erwerbseinkünften ( Müller, a.a.O. , Rz</w:t>
      </w:r>
    </w:p>
    <w:p>
      <w:r>
        <w:t>284 f. zu Art. 11 ELG ). Demnach erzielte der Beschwerdeführer im September 2019 ein Nettoerwerbsein kommen von Fr. 275.70 ( Fr. 294.-- minus die darauf entfallenden Sozialversiche rungsbeiträge in der Höhe von Fr. 15.05 [5,125 %] sowie Fr. 3.25 [1,1 %]) , im Oktober 2019 eines von Fr. 301.95, im November 2019 im Betrag von Fr. 275.70 sowie im Dezember 2019 in der Höhe von Fr. 305.30, mithin von total Fr. 1'158.65 (vgl. Urk. 18/54 S. 4-7).</w:t>
      </w:r>
    </w:p>
    <w:p>
      <w:r>
        <w:t>Basierend auf den im Jahr 2019 erzielten Erwerbseinkünften ergibt sich damit ein auf ein Jahr hochgerechnetes anrechenbares Erwerbseinkommen von gerundet Fr. 3'476.-- (Fr. 1'158.65 : 4 x 12) , von welchem in einem nächsten Schritt (vgl. Müller, a.a.O., Rz 298 f. zu Art. 11 ELG) die Gewinnungskosten abzuziehen sind (vgl. nachstehende E. 3.1.4) , wie die Beschwerdeführenden zutreffend ausführte n (Urk. 13 S. 3) . 3.1.4</w:t>
      </w:r>
    </w:p>
    <w:p>
      <w:r>
        <w:t>Zwar sind die Gewinnungskosten bisher nicht beziffert worden (Urk.</w:t>
      </w:r>
    </w:p>
    <w:p>
      <w:r>
        <w:rPr>
          <w:b/>
        </w:rPr>
        <w:t>E. 4</w:t>
      </w:r>
    </w:p>
    <w:p>
      <w:r>
        <w:t>genannten, gleichentags gefällten Einsprache entscheides bildet.</w:t>
      </w:r>
    </w:p>
    <w:p>
      <w:r>
        <w:t>Diese Eingabe hat das Gericht unter der Prozessnummer ZL.2021.00045 angelegt.</w:t>
      </w:r>
    </w:p>
    <w:p>
      <w:r>
        <w:rPr>
          <w:b/>
        </w:rPr>
        <w:t>E. 5</w:t>
      </w:r>
    </w:p>
    <w:p>
      <w:r>
        <w:t>/0- 4 geführt.</w:t>
      </w:r>
    </w:p>
    <w:p>
      <w:r>
        <w:rPr>
          <w:b/>
        </w:rPr>
        <w:t>E. 5.5</w:t>
      </w:r>
    </w:p>
    <w:p>
      <w:r>
        <w:t>). Denn die Leistung der beruflichen Vorsorge ist nicht erst fällig, wenn der Vorsorgeneh mer sie verlangt, sondern bereits ab dem Zeitpunkt, in welchem die Leistung gefordert werden kann beziehungsweise darf (Müller, a.a.O. , Rz 435 zu Art. 11 ELG). In Übereinstimmung mit dieser Rechtslage sind gemäss WEL Rz 3443.03 Kapital summen aus der 2. und 3. Säule ab dem Zeit punkt beim Vermögen an zu rechnen, in dem für die versi cherte Person die Möglichkeit besteht, diese zu beziehen.</w:t>
      </w:r>
    </w:p>
    <w:p>
      <w:r>
        <w:t>Es steht fest, dass der Beschwerdeführer seit 1. November 2018 Anspruch auf eine ganze Invalidenrente</w:t>
      </w:r>
    </w:p>
    <w:p>
      <w:r>
        <w:t>hat .</w:t>
      </w:r>
    </w:p>
    <w:p>
      <w:r>
        <w:t>Diese wurde ihm mit Verfügung der IV-Stelle vom 12. Juni 2019 zugesprochen (Urk. 18/113) . Dementsprechend hätte er mit Eintritt der Rechtskraft des Entscheids</w:t>
      </w:r>
    </w:p>
    <w:p>
      <w:r>
        <w:t>die Möglichkeit ( gehabt ) , die Freizügigkeitsgelder</w:t>
      </w:r>
    </w:p>
    <w:p>
      <w:r>
        <w:t>zu beziehen . Nachdem die Beschwerdegegnerin im angefochtenen Einsprache ent scheid nun korrekterweise (vgl. BGE 140 V 201 E. 4.2-4.4) die beim Bezug hypo thetisch anfallenden Steuern abgezogen hat (Urk. 2 S. 5) ,</w:t>
      </w:r>
    </w:p>
    <w:p>
      <w:r>
        <w:t>beanstanden die Beschwerdeführenden die Anrechnung des Kapitals in betraglicher Hinsicht nicht mehr (vgl. zur Höhe auch Urk. 18/115)</w:t>
      </w:r>
    </w:p>
    <w:p>
      <w:r>
        <w:t>- ebenso wenig hinsichtlich des exakten Zeitpunkts der Anrechnung . Es besteht daher kein Anlass , darauf weiter einzuge hen ( vgl. BGE 131 V 329 E. 4 und 110 V 48 E. 4a) und die Beschwerde ist insoweit abzuweisen .</w:t>
      </w:r>
    </w:p>
    <w:p>
      <w:r>
        <w:t>3.6</w:t>
      </w:r>
    </w:p>
    <w:p>
      <w:r>
        <w:t>Insgesamt ist nach dem Gesagten der angefochtene Einspracheentscheid im Hin blick darauf zu korrigieren, dass das für die Jahre 2019 und 2020 massgebende Nettoerwerbseinkommen mit jährlich Fr. 3'476.-- zu veranschlagen ist (vgl. vor stehende E. 3.1.3 am Ende) und dass vo n diese m Erwerbseinkommen des Beschwerdeführers die Gewinnungskosten zu erheben und hernach abzuzi ehen sind (E. 3.1. 5 vorstehend). Zudem sind für die Berechnung ab Januar 2021 nach neuem Recht die Ausgaben für die obligatorische Krankenpflegeversicherung zu erheben und zu berücksichtigen, soweit sie den Maximalbetrag nicht überschrei ten. Insoweit ist die Beschwerde in dem Sinne gutzuheissen, dass der angefoch tene Einspracheentscheid aufgehoben und die Sache zur Ergänzung der Sachlage an die Beschwerdegegnerin zurückgewiesen wird.</w:t>
      </w:r>
    </w:p>
    <w:p>
      <w:r>
        <w:t>Des Weiteren sind die an die geschiedene Frau ausgerichteten Unterhaltsbeiträge von Fr. 400.-- monatlich beziehungsweise Fr. 4'800.-- pro Jahr für die Zeit von Dezember 2019 bis und mit April 2021 weiterhin als Auslagen des Beschwerde führers anzurechnen (E. 3.2.2 vorstehend) . Insofern ist die Beschwerde daher gut zuheissen .</w:t>
      </w:r>
    </w:p>
    <w:p>
      <w:r>
        <w:t>In Bezug auf die Anrechnung des auf die Tochter entfallenden</w:t>
      </w:r>
    </w:p>
    <w:p>
      <w:r>
        <w:t>Unterhaltsbeitrages von Fr. 9 00.--, des Freizügigkeitskapitals als Vermögen und des auf die Tochter fallenden Mietzinsanteils wird die Beschwerde abgewiesen.</w:t>
      </w:r>
    </w:p>
    <w:p>
      <w:r>
        <w:t>Dies führt dazu, dass der angefochtene Einspracheentscheid aufzuheben und die Sache an die Beschwerdegegnerin zurückzuweisen ist, damit diese die notwendi gen Abklärungen vornehme und hernach</w:t>
      </w:r>
    </w:p>
    <w:p>
      <w:r>
        <w:t>im Sinne der Erwägungen neue Berech nungen durchführe und über den Anspruch der Beschwerde führenden auf Zusatz leistungen erneut entscheide - dies ab September 2019, als das Erwerbsein kommen des Beschwerdeführers erstmals als Einnahme angerechnet wurde . In diesem Sinne ist die Beschwerde teilweise gutzuheissen. 4.</w:t>
      </w:r>
    </w:p>
    <w:p>
      <w:r>
        <w:t>Entsprechen d dem Ausgang des Verfahrens hat d er anwaltlich vertretene Be schwer deführer gestützt auf Art. 61 lit. g ATSG Anspruch auf eine Prozessent schädigung. Diese ist gemäss § 34 Abs. 1 und 3 des Gesetzes über das Sozialver sicherungsgericht (GSVGer) unter Berücksichtigung der Bedeutung der Streitsach e und</w:t>
      </w:r>
    </w:p>
    <w:p>
      <w:r>
        <w:t>der Schwierigkeit des Prozesses festzusetzen und angesichts des teilweisen Obsiegens</w:t>
      </w:r>
    </w:p>
    <w:p>
      <w:r>
        <w:t>um die Hälfte zu reduzieren . Anhand dieser Kriterien sowie in Anbe tracht des Umstandes, dass die Beschwerdegegnerin ihre Akten erst nach der zweiten gerichtlichen Aufforderung (vgl. Urk. 6 S. 2 und Urk. 16) zureichend akturiert</w:t>
      </w:r>
    </w:p>
    <w:p>
      <w:r>
        <w:t>und dementsprechend einen Mehraufwand generiert hat, recht fertigt es sich, dem Beschwerde führer eine Prozessentschädigung von Fr. 1 ' 4 00.-- (inklu sive Barauslagen und Mehrwertsteuer) zuzusprechen. Das Gericht erkennt: 1.</w:t>
      </w:r>
    </w:p>
    <w:p>
      <w:r>
        <w:t>Die Beschwerde wird in dem Sinne teilweise gutgeheissen, d ass der angefochtene Ein sprache entscheid sowie die dazugehörige Verfügung der Beschwerdegegnerin vom 8. April 2021 (Urk. 2 und Urk. 5/2 ) aufgehoben werden und die Sache an die Beschwerde gegnerin zurückgewiesen wird, damit diese den Anspruch der Beschwerdeführenden auf Ergänzungsleistungen ab September 2019 im Sinne der Erwägungen neu festsetze.</w:t>
      </w:r>
    </w:p>
    <w:p>
      <w:r>
        <w:t>In Bezug auf die Anrechnung des Freizügigkeitskapitals als Vermögen und des auf die Tochter fallenden Mietzinsanteils und ihre Unterhaltsbeiträge wird die Beschwerde abgewiesen.</w:t>
      </w:r>
    </w:p>
    <w:p>
      <w:r>
        <w:t>2.</w:t>
      </w:r>
    </w:p>
    <w:p>
      <w:r>
        <w:t>Das Verfahren ist kostenlos. 3.</w:t>
      </w:r>
    </w:p>
    <w:p>
      <w:r>
        <w:t>Die Beschwerdegegnerin wird verpflichtet, dem Beschwerdeführer 1 eine reduzierte Prozessentschädigung von Fr. 1’400 .-- (inkl. Barauslagen und MWSt ) zu bezahlen. 4.</w:t>
      </w:r>
    </w:p>
    <w:p>
      <w:r>
        <w:t>Zustellung gegen Empfangsschein an: - Rechtsanwalt Adrian Zogg - Stadt Winterthur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10</w:t>
      </w:r>
    </w:p>
    <w:p>
      <w:r>
        <w:t>Abs. 3 lit. d ELG in der ab 1. Januar 2021 geltenden Fassung) lediglich diese effektive Prämie als Ausgabe anerkannt, womit der Einnahmenüberschuss (bei Ausgaben von weniger als Fr. 39'068.--) über Fr. 9'765.-- und damit höher als nach altem R echt zu liegen kommen würde. Damit wäre die Anwendung des neuen Rechts</w:t>
      </w:r>
    </w:p>
    <w:p>
      <w:r>
        <w:t>ungünstiger, weil ein höherer Ein nahmenüberschuss eine grössere Entfernung von einem EL-Anspruch bedeutet.</w:t>
      </w:r>
    </w:p>
    <w:p>
      <w:r>
        <w:t>Folglich finden für die Zeit von November 2018 bis Dezember 2020 die bis am 31. Dezember 2020 gültig gewesenen Normen Anwendung und für die Zeit ab 1. Januar 2021 hängt die abschliessende Beurteilung diese r Frage von der Höhe der effektiven Krankenkassenprämien ab , welche anhand der vorliegenden Akten nicht beantwortet werden kann. Nachfolgend werden die Gesetzes bestimmungen daher - wo nicht anders erwähnt - in der bisherigen Fassung zitiert. Für den Zusatzleistungsanspruch für die Zeit ab 1. Januar 2021 und die damit zusam menhänge Frage des anwendbaren Rechts wird die Beschwerdegegnerin die effektiv zu leistenden Krankenkassenp rämien abzuklären haben.</w:t>
      </w:r>
    </w:p>
    <w:p>
      <w:r>
        <w:rPr>
          <w:b/>
        </w:rPr>
        <w:t>E. 13</w:t>
      </w:r>
    </w:p>
    <w:p>
      <w:r>
        <w:t>S. 6-7 Ziff. 8.1).</w:t>
      </w:r>
    </w:p>
    <w:p>
      <w:r>
        <w:t>Die Beschwerdeführenden be rufen sich dabei auf die in der WEL unter dem Titel « 3.1.4.4 Kinder getrennter oder geschiedener Eltern, die bei beiden Elternteilen leben » festgehaltenen Bestimmungen. Dieses Kapitel bezieht sich indes allein auf geschiedene EL-beziehende Personen, die sich di e Obhut über ihre Kinder teilen (vgl. WEL Rz 3133.09 ) .</w:t>
      </w:r>
    </w:p>
    <w:p>
      <w:r>
        <w:t>Zwar steht die Beschwerdeführerin unter der gemeinsa men elterlichen Sorge, doch wohnt</w:t>
      </w:r>
    </w:p>
    <w:p>
      <w:r>
        <w:t>die Beschwerdeführerin laut dem Scheidungs urteil überwiegend bei ihrer Mutter, der im Übrigen auch die AHV-Erziehungsgutschriften vollumfänglich zustehen (Urk. 18/108 S. 2-3) , weshalb</w:t>
      </w:r>
    </w:p>
    <w:p>
      <w:r>
        <w:t>von deren alleiniger faktischer Obhut auszugehen ist</w:t>
      </w:r>
    </w:p>
    <w:p>
      <w:r>
        <w:t>( Kilde Gisela, Das Verhältnis zwischen persönlichem Verkehr, Betreuung und Obhut bei gemeinsamer elterli cher Sorge, recht 2015 , S. 235 f.) . Die Beschwerdeführenden gingen denn auch selber davon aus, die Kindsmutter sei obhutsberechtigt (Urk. 13 S. 7 Ziff. 8.3). Ihre Argumentation geht daher fehl.</w:t>
      </w:r>
    </w:p>
    <w:p>
      <w:r>
        <w:t>Vielmehr ist in einer solchen Konstellation für den Beschwerdeführer eine Berechnung als Alleinstehender durchzuführen , was auch hinsichtlich des zu berücksichtigenden Mietzinses gilt (vgl. Grütter/Mosimann/Spicher, a.a.O., S. 702 f.; WEL Rz 3222.01 und 3222.02 ) .</w:t>
      </w:r>
    </w:p>
    <w:p>
      <w:r>
        <w:t>F ür das beim anderen Elternteil lebende Kind ist eine gesonderte Berechnung vorzunehmen (WEL Rz</w:t>
      </w:r>
    </w:p>
    <w:p>
      <w:r>
        <w:t>3143.01 ) , wie die Beschwerdegegnerin dies getan hat (Urk. 18/21 S. 2) .</w:t>
      </w:r>
    </w:p>
    <w:p>
      <w:r>
        <w:t>Dass kein höherer als der maximal zulässige Mietzins für Alleinstehende berück sichtigt wird, ist sodann auch vor dem Hintergrund gerechtfertigt, dass die Beschwerdeführerin lediglich jedes zweite Wochenende und in den übrigen Wochen einen Nachmittag von 12 bis 20 Uhr beim Beschwerdeführer weilt</w:t>
      </w:r>
    </w:p>
    <w:p>
      <w:r>
        <w:t>(Urk. 18/108 S. 3).</w:t>
      </w:r>
    </w:p>
    <w:p>
      <w:r>
        <w:t>Des Weiteren entspricht es nicht der Praxis, der Beschwerdeführerin zwei halbe Mietzinse und einen grösseren allgemeinen Lebensbedarf anzurechnen (vgl. Grüt ter/Mosimann/Spicher, a.a.O., S. 705</w:t>
      </w:r>
    </w:p>
    <w:p>
      <w:r>
        <w:t>Fn 88 ) . Die Anrechnung des halben Miet zinses des Beschwerdeführers zusätzlich auch bei der Beschwerdeführerin hätte überdies zur Folge, dass insgesamt mehr als der effektiv bezahlte Mietzins ange rechnet würde, was offenkundig nicht angeht . Dem entsprechenden Vorbringen der Beschwerdeführenden (vgl. Urk. 13 S. 7) ist daher nicht zu folgen und die Beschwerde insoweit abzuweisen . 3.5</w:t>
      </w:r>
    </w:p>
    <w:p>
      <w:r>
        <w:t>Der Beschwerdeführer macht e ferner geltend, es sei gesetzeswidrig, das Freizü gigkeitskonto bei seinem Vermögen anzurechnen, begründet diesen Einwand indes nicht (Urk. 1 S. 3 ).</w:t>
      </w:r>
    </w:p>
    <w:p>
      <w:r>
        <w:t>Nach der Rechtsprechung sind Frei zügig keitsguthaben der beruflichen Vorsorge bei der Berechnung des EL-Anspruchs als Vermögen entsprechend Art. 11 Abs. 1 lit. c ELG zu berück sichtigen, wenn sie bezogen werden können. Gemäss Art. 16 Abs. 2 der Verordnung vom 3. Oktober 1994 über die Freizügigkeit in der beruf lichen Alters-, Hinterlassenen- und Invalidenvorsorge (Freizügigkeitsverordnung, FZV) kann die versicherte Person die vorzeitige Auszahlung der Altersleistung (von Freizügigkeitspolicen und Freizügigkeitsk onten) verlangen, wenn sie (bei fehlender anderweitiger Versicherung des Invaliditätsrisikos) eine volle (ganze) Rente der Eidgenössischen Invalidenversicherung bezieht. Demzufolge ist der EL-berechtigten Person das Freizügigkeitskapital, welches sie gestützt auf Art. 16 Abs. 2 FZV beziehen könnte, in dem Zeitpunkt, in dem ihr Anspruch auf eine ganze Invalidenrente rechtskräftig feststeht , als Vermögen anzurechnen (BGE 140 V 201 E. 2.2 mit Hinweisen und B GE 146 V 331 Regeste und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