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ZL.2021.00040 vom 9. Juni 2022</w:t>
      </w:r>
    </w:p>
    <w:p>
      <w:r>
        <w:t>ZH Sozialversicherungsgericht, 2022-06-09, DE</w:t>
      </w:r>
    </w:p>
    <w:p>
      <w:r>
        <w:rPr>
          <w:b/>
        </w:rPr>
        <w:t xml:space="preserve">Quelle: </w:t>
      </w:r>
      <w:r>
        <w:t>https://mcp.opencaselaw.ch/entscheid/zh_sozialversicherungsgericht_ZL.2021.00040</w:t>
      </w:r>
    </w:p>
    <w:p>
      <w:r>
        <w:t>FR: ZH_SOZIALVERSICHERUNGSGERICHT ZL.2021.00040 du 9 juin 2022</w:t>
      </w:r>
    </w:p>
    <w:p>
      <w:r>
        <w:t>IT: ZH_SOZIALVERSICHERUNGSGERICHT ZL.2021.00040 del 9 giugno 2022</w:t>
      </w:r>
    </w:p>
    <w:p>
      <w:pPr>
        <w:pStyle w:val="Heading2"/>
      </w:pPr>
      <w:r>
        <w:t>Erwägungen</w:t>
      </w:r>
    </w:p>
    <w:p>
      <w:r>
        <w:rPr>
          <w:b/>
        </w:rPr>
        <w:t>E. 1</w:t>
      </w:r>
    </w:p>
    <w:p>
      <w:r>
        <w:t>X.___ , geboren 1953, bezieht seit August 2019 eine Altersrente der Alters- und Hinterlassenenversicherung (AHV; Urk. 6/11). Nachdem er per 1. Februar 2020 aus dem Kanton Schwyz nach Y.___ gezogen war, meldete er sich am 2 0. Juni 2020 bei der Sozialversicherungsanstalt des Kantons Zürich (nachfolgend: Durchführungsstelle) zum Bezug von Zusatzleistungen zur AHV/IV an ( Urk. 6/1). Die Durchführungsstelle holte weitere Unterlagen ein und verneinte mit Verfügung vom 2. November 2020 unter Anrechnung eines Vermögensver zichts von Fr. 872'270.-- den Anspruch des Versicherten auf Zusatzleistungen</w:t>
      </w:r>
    </w:p>
    <w:p>
      <w:r>
        <w:t>( Urk. 6/63). Die dagegen am 3 0. November 2020 erhobene Einsprache ( Urk. 6/72) wies</w:t>
      </w:r>
    </w:p>
    <w:p>
      <w:r>
        <w:t>sie mit Einspracheentscheid vom 1 4. April 2021 ab ( Urk. 6/76 = Urk. 2).</w:t>
      </w:r>
    </w:p>
    <w:p>
      <w:r>
        <w:rPr>
          <w:b/>
        </w:rPr>
        <w:t>E. 1.1</w:t>
      </w:r>
    </w:p>
    <w:p>
      <w:r>
        <w:t>Am 1. Januar 2021 sind die geänderten Bestimmungen des Bundesgesetzes über den Allgemeinen Teil des Sozialversicherungsrechts (ATSG), der Verordnung über den Allgemeinen Teil des Sozialversicherungsrechts (ATSV), des Bundesgesetzes über Ergänzungsleistungen zur Alters-, Hinterlassenen- und Invalidenversiche rung (ELG) und der Verordnung über Ergänzungsleistungen zur Alters-, Hinter lassenen- und Invalidenversicherung (ELV) wie auch des kantonalrechtlichen Zusatzleistungsgesetzes (ZLG) und der Zusatzleistungsverordnung (ZLV)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Da der Einspracheent scheid</w:t>
      </w:r>
    </w:p>
    <w:p>
      <w:r>
        <w:t>vom 1 4. April 2021 respektive die diesem zu Grunde liegende Verfügung vom 2. November 2020 den Anspruch des Beschwerdeführers auf Zusatzleistun gen ab 1. Juni 2020 zum Gegenstand hat, sind vorab die bis 3 1. Dezember 2020 gültig gewesenen Normen auf den vorliegenden Fall anzuwenden und in dieser Fassung zu zitieren.</w:t>
      </w:r>
    </w:p>
    <w:p>
      <w:r>
        <w:rPr>
          <w:b/>
        </w:rPr>
        <w:t>E. 1.2</w:t>
      </w:r>
    </w:p>
    <w:p>
      <w:r>
        <w:t>), deren Anwendung im Übrigen vom Beschwerdeführer nicht bestritten wurde. Indessen hat die Beschwerdegegnerin den Zeitbauwert des Gebäudes – dieses hat gemäss Akten das Baujahr 1983 –</w:t>
      </w:r>
    </w:p>
    <w:p>
      <w:r>
        <w:t>zwar aus der Neube wer tung der Liegenschaft 2009 des Steueramtes A.___ entnommen, jedoch die vom Steueramt zu diesem – im Verzichtszeitpunkt bereits weit zurückliegen den –</w:t>
      </w:r>
    </w:p>
    <w:p>
      <w:r>
        <w:t>Zeitpunkt berücksichtigte Altersentwertung von 26 % ( Urk. 6/61/1),</w:t>
      </w:r>
    </w:p>
    <w:p>
      <w:r>
        <w:t>ausser Acht gelassen. Besondere Umstände, die es rechtfertigen würden, das Gebäude zum Neuwert anzurechnen, ohne die Alter sentwertung zu berücksichtigen , sind jedoch keine ersichtlich. Da die Altersentwertung pro Jahr 1 % des Neubauwertes beträgt , jedoch höchstens 30 % ( Weisung des Regierungsrates an die Steuer behörden über die Bewertung von Liegenschaften und die Festsetzung der Eigen m ietwerte ab Steuerperiode 2009, 631.32 , Weisung 2009; LS 631.32 ;</w:t>
      </w:r>
    </w:p>
    <w:p>
      <w:r>
        <w:t>Rz . 32 ) , ist der Zeitbauwert des Gebäudes daher um 30 %</w:t>
      </w:r>
    </w:p>
    <w:p>
      <w:r>
        <w:t>auf Fr. 679‘000.-- zu reduzieren. Da die Beschwerdegegnerin den Landwert korrekt gestützt auf die vom Statisti schen Amt des Kantons Zürich herausgegebenen Bodenpreise für A.___</w:t>
      </w:r>
    </w:p>
    <w:p>
      <w:r>
        <w:t>berechnete, ergibt dies insgesamt einen geschätzten Verkehrswert der Liegen schaft von Fr. 1‘493‘540.-- ( Fr. 679‘000.-- + Fr. 814‘540.--).</w:t>
      </w:r>
    </w:p>
    <w:p>
      <w:r>
        <w:rPr>
          <w:b/>
        </w:rPr>
        <w:t>E. 1.3.1</w:t>
      </w:r>
    </w:p>
    <w:p>
      <w:r>
        <w:t>Zweck der Ergänzungsleistungen ist eine angemessene Deckung des Existenz bedarfs. Bedürftigen Rentnern der Alters- und Hinterlassenen- sowie der Invali denversicherung soll ein regelmässiges Mindesteinkommen gesichert werden. Die Einkommensgrenzen haben dabei die doppelte Funktion einer Bedarfslimite und eines garantierten Mindesteinkommens. Deshalb sind bei der Anspruchsberech nung nur tatsächlich vereinnahmte Einkünfte und vorhandene Vermögenswerte zu berücksichtigen, über die der Leistungsansprecher ungeschmälert verfügen kann (BGE 127 V 248 E. 4a, 122 V 19 E. 5a).</w:t>
      </w:r>
    </w:p>
    <w:p>
      <w:r>
        <w:t>Dieser Grundsatz gilt nicht und es liegt eine Verzichtshandlung im Sinne von Art. 11 Abs. 1 lit . g ELG vor, wenn die versicherte Person ohne rechtliche Ver pflichtung und ohne adäquate Gegenleistung auf Einkünfte oder Vermögen ver zichtet hat, wenn sie einen Rechtsanspruch auf bestimmte Einkünfte und Vermö genswerte hat, davon aber faktisch nicht Gebrauch macht oder ihre Rechte nicht durchsetzt . Dazu gehören auch erb- oder ehegüterrechtliche Ansprüche (BGE 120 V 182 E. 4a ; Urteil des Bundesgerichts 9C_198/2010 vom 9. August 2010 E. 3.1; nicht publizierte E. 3e des Urteils BGE 128 V 39, BGE 121 V 204 E. 4a, AHI 2001 S. 133 E. 1b, SVR 2011 EL Nr. 4 S. 11, 9C_329/2010 E. 3.1, Urteil des Bundes gerichts 9C_558/2013 vom 1 2. November 2013 E. 3.1.2, je mit Hinweisen).</w:t>
      </w:r>
    </w:p>
    <w:p>
      <w:r>
        <w:t>Für die Annahme einer Verzichtshandlung im Sinne von Art. 11 Abs. 1 lit . g ELG ist nicht erforderlich, dass beim Verzicht der Gedanke an Ergänzungsleistungen tatsächlich eine Ro lle gespielt hat (BGE 131 V 329 E. 4.4). Es ist also nicht wesentlich, dass sich die versicherte Person über die sozialversicherungsrecht lichen Konsequenzen ihres Tuns im Klaren war. Eine Verzichtshandlung setzt aber schon begrifflich («Verzicht») voraus, dass die Vermögensverminderung mit Wissen und Wollen der versicherten Person geschehen ist. Dabei ist nur, aber immerhin erforderlich, dass die versicherte Person hinsichtlich der Vermögens verminderung an sich urteilsfähig war, nicht aber, dass sie von der möglichen ergänzungsleistungsrechtlichen Qualifikation als Verzichtshandlung wusste und eine solche in Kauf nahm (Urteil des Bundesgerichts 9C_934/2009 vom 2 8. April 2010 E. 5.1).</w:t>
      </w:r>
    </w:p>
    <w:p>
      <w:r>
        <w:rPr>
          <w:b/>
        </w:rPr>
        <w:t>E. 1.3.2</w:t>
      </w:r>
    </w:p>
    <w:p>
      <w:r>
        <w:t>Ob eine adäquate Gegenleistung vorliegt, beurteilt sich nach dem Verhältnis zwischen Leistung und Gegenleistung im Zeitpunkt der Entäusserung (BGE 120 V 182 E. 4a; Urteil des Bundesgerichts 9C_198/2010 vom 9. August 2010 E. 3.1).</w:t>
      </w:r>
    </w:p>
    <w:p>
      <w:r>
        <w:t>Art. 11 Abs. 1 lit . g ELG enthält keine zeitliche Beschränkung in Bezug auf die Berücksichtigung des Vermögensverzichts. Ein hypothetisches Vermögen ist also auch dann anzurechnen, wenn die Verzichtshandlung sehr lange zurückliegt. Dem Aspekt des Zeitablaufs wird durch die jährliche Reduktion gemäss Art. 17a ELV Rechnung getragen. Danach wird der anzurechnende Betrag von Vermö genswerten, auf die verzichtet worden ist, jährlich um Fr. 10'000.- - vermindert, wobei der Wert des Vermögens im Zeitpunkt des Verzichtes unverändert auf den 1. Januar des Jahres, das auf den Verzicht folgt, zu übertragen und dann jeweils nach einem Jahr zu vermindern ist ( Abs. 1 und 2; Urteil des Bundesgerichts 9C_198/2010 vom 9. August 2010 E. 3.2 mit Hinweisen).</w:t>
      </w:r>
    </w:p>
    <w:p>
      <w:r>
        <w:rPr>
          <w:b/>
        </w:rPr>
        <w:t>E. 1.4</w:t>
      </w:r>
    </w:p>
    <w:p>
      <w:r>
        <w:t>Nach Art. 17 ELV ist das anrechenbare Vermögen nach den Grundsätzen der Gesetzgebung über die direkte kantonale Steuer für die Bewertung des Vermögens im Wohnsitzkanton zu bewerten ( Abs. 1). Dienen Grundstücke dem Bezüger oder einer Person, die in der EL-Berechnung eingeschlossen ist, nicht zu eigenen Wohnzwecken, so sind diese zum Verkehrswert einzusetzen ( Abs. 4). Bei der ent geltlichen oder unentgeltlichen Entäusserung eines Grundstückes ist der Ver kehrswert für die Prüfung, ob ein Vermögensverzicht im Sinne von Art. 11 Abs. 1 lit . g ELG vorliegt, massgebend. Der Verkehrswert gelangt nicht zur Anwendung, wenn von Gesetzes wegen ein Rechtsanspruch auf den Erwerb zu einem tieferen Wert besteht ( Abs. 5). Die Kantone können anstelle des Verkehrswertes einheitlich den für die interkantonale Steuerausscheidung massgebenden Repartitionswert anwenden ( Abs. 6). Der Kanton Zürich hat indessen von dieser Befugnis keinen Gebrauch gemacht (vgl. die Weisungen des Kantonalen Sozialamtes zum Vollzug der Zusatzleistungen zur AHV/IV vom 2 7. März 2013, Stand 1. Januar 2020, S.</w:t>
      </w:r>
    </w:p>
    <w:p>
      <w:r>
        <w:t>12 Ziff. 2.2.1, einsehbar unter www.sozialamt.zh.ch).</w:t>
      </w:r>
    </w:p>
    <w:p>
      <w:r>
        <w:t>Nach der Rechtsprechung ist unter dem Verkehrswert einer Liegenschaft im Sinne dieser Bestimmung der Verkaufswert zu verstehen, den sie im normalen Geschäftsverkehr hat (Urteil des Bundesgerichts 9C_396/2013 vom 1 5. Oktober 2013 E. 7.1.1 mit Hinweis). Der so ermittelte Verkehrswert setzt grundsätzlich eine konkrete und aktuelle Liegenschaftsschätzung voraus. Aus Gründen der Praktikabilität können aber auch andere geeignete Schätzungen beigezogen werden (Urteil des Bundesgerichts 9C_550/2017 vom 6. Dezember 2017 E. 3).</w:t>
      </w:r>
    </w:p>
    <w:p>
      <w:r>
        <w:t>Ist der aktuelle Verkehrswert (Marktwert) einer Liegenschaft nicht bekannt, kann auf den Mittelwert zwischen dem Wert nach der Gesetzgebung über die direkte kantonale Steuer und dem Gebäudeversicherungswert abgestellt werden, sofern dies nicht offensichtlich zu einem unrichtigen Ergebnis führt ( Rz 3444.03 der Wegleitung des Bundesamtes für Sozialversicherung über die Ergänzungsleis tungen zur AHV und IV, Stand 1. Januar 2019, WEL). Ebenso stellt die Addition des Zeitwerts der auf dem Grundstück liegenden Gebäude und des Marktwerts des Bodens eine geschützte Vermögensermittlung dar (vgl. Carigiet /Koch, Ergän zungsleistungen zur AHV/IV, 2. Aufl. 2009, S. 171 f. mit Hinweis auf AHI 1998 S. 274 f.).</w:t>
      </w:r>
    </w:p>
    <w:p>
      <w:r>
        <w:rPr>
          <w:b/>
        </w:rPr>
        <w:t>E. 1.5</w:t>
      </w:r>
    </w:p>
    <w:p>
      <w:r>
        <w:t>.2</w:t>
      </w:r>
    </w:p>
    <w:p>
      <w:r>
        <w:t>Nach Art. 43 Abs. 1 ATSG prüft der Versicherungsträger die Begehren, nimmt die notwendigen Abklärungen von Amtes wegen vor und holt die erforderlichen Aus künfte ein, wobei mündlich erteilte Auskünfte schriftlich festzuhalten sind. Bei Beweislosigkeit fällt der Entscheid zu Ungunsten derjenigen Partei aus, die aus dem unbewiesen gebliebenen Sachverhalt Recht ableiten wollte (vgl. Kieser , ATSG-Kommentar, 4. Auf lage, Zürich 2020, Art. 43 Rz 70 ) . Beweislosigkeit darf jedoch erst dann angenommen werden, wenn es sich als unmöglich erweist, im Rahmen des Untersuchungsgrundsatzes einen Sachverhalt zu ermitteln, der mit dem erforderlichen Beweisgrad der überwiegenden Wahrscheinlichkeit feststeht (vg l. Kieser , a.a.O., Art. 43 Rz 68 ).</w:t>
      </w:r>
    </w:p>
    <w:p>
      <w:r>
        <w:rPr>
          <w:b/>
        </w:rPr>
        <w:t>E. 2</w:t>
      </w:r>
    </w:p>
    <w:p>
      <w:r>
        <w:t>0. Juni 2020 ;</w:t>
      </w:r>
    </w:p>
    <w:p>
      <w:r>
        <w:t>Urk. 6/1 ) . Dabei ist zu beurteilen , ob die Beschwerdegegnerin in der Berechnung der Zusatzleis tungen zu Recht ein Verzichtsvermögen im Sinne von Art. 11 Abs. 1 lit . g ELG zufolge Verzichts auf güterrechtliche Ansprüche berücksichtigt hat.</w:t>
      </w:r>
    </w:p>
    <w:p>
      <w:r>
        <w:rPr>
          <w:b/>
        </w:rPr>
        <w:t>E. 2.1</w:t>
      </w:r>
    </w:p>
    <w:p>
      <w:r>
        <w:t>Die Beschwerdegegnerin führte im angefo chtenen Einspracheentscheid aus, b eim anrechenbaren Vermögen seien auch Vermögenswerte zu berücksichtigen, auf welche verzichtet worden sei. Der Beschwerdeführer habe auf seinen güterrecht lichen Anspruch auf das Einfamil ienhaus an der Z.___-Strasse in A.___ verzichtet. Er habe dafür keine adäquate Gegenleistung erhalten, weshalb dieser Verzicht als Vermögensverzicht zu werten sei ( Urk.</w:t>
      </w:r>
    </w:p>
    <w:p>
      <w:r>
        <w:rPr>
          <w:b/>
        </w:rPr>
        <w:t>E. 2.2</w:t>
      </w:r>
    </w:p>
    <w:p>
      <w:r>
        <w:t>Der Beschwerdeführer brachte dagegen vor, die Beschwerdegegnerin gehe davon aus , dass er einen Anspruch auf das Verzichtsvermögen gemäss Scheidungsurteil habe. Dies treffe jedoch nicht zu. Er habe keinerlei rechtlich e Handhabe , um auf das Vermögen zuzugreifen. Sein Einkommen decke seine minimalen Lebenskos ten nicht, ungeachtet möglicher persönlicher finanzieller Fehlentscheide in der Vergangenheit. Zwar trage der Leistungsansprecher die Beweislast, dass das Ver mögen in Erfüllung einer rechtlichen Verpflichtung oder gegen eine adäquate Gegenleistung hingegeben worden sei, auf eine Beweisabnahme sei jedoch seitens der Beschwerdegegnerin verzichtet worden ( Urk. 1 S. 1 f.).</w:t>
      </w:r>
    </w:p>
    <w:p>
      <w:r>
        <w:rPr>
          <w:b/>
        </w:rPr>
        <w:t>E. 2.3</w:t>
      </w:r>
    </w:p>
    <w:p>
      <w:r>
        <w:t>Strittig und zu prüfen ist der Anspruch auf Zusatzleistungen für die Zeit ab 1. Juni 2020 (Art. 12 Abs.1 ELG, Anmeldung am</w:t>
      </w:r>
    </w:p>
    <w:p>
      <w:r>
        <w:rPr>
          <w:b/>
        </w:rPr>
        <w:t>E. 3</w:t>
      </w:r>
    </w:p>
    <w:p>
      <w:r>
        <w:t>Zustellung gegen Empfangsschein an: - X.___ - Sozialversicherungsanstalt des Kantons Zürich, Zusatzleistungen zur AHV/IV - Bundesamt für Sozialversicherungen - Sicherheitsdirektion Kanton Zürich</w:t>
      </w:r>
    </w:p>
    <w:p>
      <w:r>
        <w:rPr>
          <w:b/>
        </w:rPr>
        <w:t>E. 3.1</w:t>
      </w:r>
    </w:p>
    <w:p>
      <w:r>
        <w:t>Die Beschwerdegegnerin geht davon aus, dass dem Beschwerdeführer ein güter rechtlicher Anspruch auf mindestens die Hälfte der im Grundbuch der Gemeinde A.___ eingetragenen Liegenschaft</w:t>
      </w:r>
    </w:p>
    <w:p>
      <w:r>
        <w:t>«Einfamilienhaus Z.___-Strasse,</w:t>
      </w:r>
    </w:p>
    <w:p>
      <w:r>
        <w:t>A.___, Grundbuchblatt …, Kat-Nr. … » (vgl. Urk. 6/6/4) zuge standen hätte, auf den er im Rahmen de r</w:t>
      </w:r>
    </w:p>
    <w:p>
      <w:r>
        <w:t>im Urteil vom 2 5. September 2017 bestätigten Scheidungskonvention verzichtet habe ( Urk. 2 S. 1) . Dementspre chend rechnete sie die Hälfte des geschätzten Verkehrswertes der Liegenschaft im Verzichtszeitpunkt als Verzichtsvermögen</w:t>
      </w:r>
    </w:p>
    <w:p>
      <w:r>
        <w:t>bei der Berechnung der Ergänzungs leistungen ein ( Urk. 6/62 ) .</w:t>
      </w:r>
    </w:p>
    <w:p>
      <w:r>
        <w:rPr>
          <w:b/>
        </w:rPr>
        <w:t>E. 3.2</w:t>
      </w:r>
    </w:p>
    <w:p>
      <w:r>
        <w:t>Das Bezirksgericht Dietikon genehmigte mit Urteil</w:t>
      </w:r>
    </w:p>
    <w:p>
      <w:r>
        <w:t>vom 2 5. September 2017 die vom Beschwerdeführer und seiner damaligen Ehefrau geschlossene Vereinbarung über die Scheidungsfolgen vom 1 6. August 201 7. Z ur güterrechtlichen Auseinan dersetzung ist dieser im Wesentlichen zu entnehmen, dass die auf den Namen der damaligen Ehefrau des Beschwerdeführers im Grundbuch eingetragene Liegen schaft in deren alleinigen Eigentum verbleibe. Beim Erwerb der Liegenschaft 1989 sei die Finanzierung überwiegend aus Eigengut des Beschwerdeführers erfolgt. Dieser verzichte im Rahmen der güterrechtlichen Auseinandersetzung unter Hin weis auf die Regelung des nachehelichen Unterhaltes und des Verzichts auf den Vorsorgeausgleich auf jedwelche güterrechtliche n Ansprüche an dieser Liegen schaft ( Urk. 6/6/4).</w:t>
      </w:r>
    </w:p>
    <w:p>
      <w:r>
        <w:rPr>
          <w:b/>
        </w:rPr>
        <w:t>E. 3.3</w:t>
      </w:r>
    </w:p>
    <w:p>
      <w:r>
        <w:t>Angesichts des im Scheidungsurteil festgehaltenen Verzichts des Beschwerdefüh rers auf güterrechtliche Ansprüche an der Liegenschaft in A.___ hat die Beschwerdegegnerin zu Recht geprüft, ob ein Vermögensverzicht im Sinne von Art. 11 Abs. 1 lit . g ELG vorliegt. Entgegen der Ansicht des Beschwerdeführers ist dabei nicht wesentlich , dass er seit de m</w:t>
      </w:r>
    </w:p>
    <w:p>
      <w:r>
        <w:t>rechtskräftigen Verzicht auf die Liegenschaft im Urteil vom 2 5. September 2017 keinen Zugriff mehr auf die Liegenschaft hat, gilt doch nach dem Gesagten der Grundsatz, dass nur Vermö genswerte zu berücksichtigen sind , über die der Leistungsansprecher unge schmälert verfügen kann (BGE 127 V 248 E. 4a, 122 V 19 E. 5a) , im Hinblick auf Verzichtshandlungen eben gerade nicht. Das Konzept des Vermögensverzichts besteht darin, dass eine Person soweit vom Anspruch auf Zusatzleistungen aus geschlossen sein soll, als sie sich ihres Vermögens ohne angemessene Gegenleis tung oder ohne Bestehen einer Rechtspflicht entäussert hat. Mit der Anrechnung eines so definierten Verzichtsvermögens soll verhindert werden, dass sich eine Person, die ihr Vermögen Drittpersonen überlässt , statt es für ihre eigenen Bedürf nisse zu verwenden respektive wie hier zu beanspruchen , den Lebens unterhalt via Zusatzleistungsbezug durch die Allgemeinheit finanzieren lassen kann. Es handelt sich somit um eine Missbrauchsregelung, ohne dass es jedoch darauf ankäme, ob der Gedanke an den Zusatzleistungsbezug bei der Entäusse rung tat sächlich eine Rolle gespielt hat (vgl. BGE 131 V 329 E. 4.3 und E. 4.4 mit Hinweisen ).</w:t>
      </w:r>
    </w:p>
    <w:p>
      <w:r>
        <w:rPr>
          <w:b/>
        </w:rPr>
        <w:t>E. 3.4</w:t>
      </w:r>
    </w:p>
    <w:p>
      <w:r>
        <w:t>Die Beschwerdegegnerin hat für die Bemessung der Höhe des Verzichtsvermögens den massgeblichen Verkehrswert mittels einer Addition des Zeitbauwerts von Fr. 970'000.-- und des Bodenwerts von Fr. 814'540.-- ermittelt ( Urk. 6/62/3) . Bei der Addition des Zeitwerts der auf dem Grundstück liegenden Gebäude und des Marktwerts des Bodens handelt es sich um eine von der Rechtsprechung aner kannte Schätzmethode (Urteil des Bundesgerichts 9C_396/2013 vom 1 5. Oktober 2013 E. 7.</w:t>
      </w:r>
    </w:p>
    <w:p>
      <w:r>
        <w:rPr>
          <w:b/>
        </w:rPr>
        <w:t>E. 3.5</w:t>
      </w:r>
    </w:p>
    <w:p>
      <w:r>
        <w:t>.2</w:t>
      </w:r>
    </w:p>
    <w:p>
      <w:r>
        <w:t>Gemäss Art. 215 des Schweizerischen Zivilgesetzbuchs (ZGB) steht bei Auflösung des ordentlichen Güterstandes der Errungenschaftsbeteiligung</w:t>
      </w:r>
    </w:p>
    <w:p>
      <w:r>
        <w:t>– von dem man gels gegenteiliger Hinweise vorliegend auszugehen ist ( Art. 181 ZGB) –</w:t>
      </w:r>
    </w:p>
    <w:p>
      <w:r>
        <w:t>jedem Ehe gatten die Hälfte des Vorschlages des anderen zu, wobei sich der Vorschlag aus dem Gesamtwert der Errungenschaft, einschliessl ich der hinzugerechne ten Ver mögenswerte und der Ersatzforderungen, nach Ab zug der auf ihr lastenden Schulden zusammensetzt ( Art. 210 ZGB). Demgegenüber muss Eigengut bei Auf lösung des Güterstandes nicht mit dem ander en Ehegatten geteilt werden ( Heinz Hausheer / Regina Aebi-Müller , in: Honsell /Vogt/Geiser [Hrsg.], Basler Kom mentar ZGB, 4. Auflage, 20 10, Art. 198 ZGB Rz 1) .</w:t>
      </w:r>
    </w:p>
    <w:p>
      <w:r>
        <w:t>Zwar hat der Beschwerdeführer die Liegenschaft in A.___</w:t>
      </w:r>
    </w:p>
    <w:p>
      <w:r>
        <w:t>im Jahr 1989 über wiegend aus Eigengu t finanziert ( Urk. 6/6/4) , wodurch sie nach dem Gesagten grundsätzlich anlässlich der güterrechtlichen Auseinandersetzung in sein em Allein eigentum verbleiben würde. Indessen ist zu berücksichtigen, dass die Liegenschaft bereits 1989 erworben wurde und im Grundbuchauszug vom 2 2. März 2016 die damalige Ehefrau des Versicherten als Alleineigentümerin auf geführt ist ( Urk. 6/8). O b und in welchem Umfang im Laufe der Zeit Investitionen in die Liegenschaft vorgenommen wurden und aus w elchen Gütermasse n sie finanziert wurden , ist unklar . Dies gilt auch für die Frage , inwiefern allenfalls Amortisationen der auf der Liegenschaft lastenden Hypothek vorgenommen wurden. Die Möglichkeit, dass solche Investitionen aus dem Eigengut der Ehefrau getätigt worden sein könnten, wodurch dieser eine Ersatzforderung gegenüber dem Eigengut des Beschwerdeführers zuzüglich einer Beteiligung am Mehrwert der Liegenschaft zustehen könnte ( Art. 206 ZGB) – die unter Umständen die Hälfte des Wertes der Liegenschaft übersteigen könnte – hat die Beschwerde gegnerin bei der Bemessung des Vermögensverzichtes nicht in Betracht gezogen. Die pau schale Annahme, dass dem Beschwerdeführer mindestens die Hälfte de s Wertes der</w:t>
      </w:r>
    </w:p>
    <w:p>
      <w:r>
        <w:t>Liegenschaft zugestanden hätte , greift unter diesen U mständen zu kurz und die Beschwerdegegnerin wird in Nachachtung des geltenden Untersu chungs grundsatzes (vgl. Art. 43 Abs. 1 und Art. 61 lit . c ATSG) weitere Abklärun gen zur Finanzierung der Liegenschaft in A.___ zu tätigen haben.</w:t>
      </w:r>
    </w:p>
    <w:p>
      <w:r>
        <w:rPr>
          <w:b/>
        </w:rPr>
        <w:t>E. 3.5.1</w:t>
      </w:r>
    </w:p>
    <w:p>
      <w:r>
        <w:t>Fraglich ist weiter , ob die Beschwerdegegnerin zu Recht davon ausgegangen ist , dass dem Beschwerdeführer mindestens die Hälfte des geschätzten Verkehrs wertes der Liegenschaft als Verzichtsvermögen anzurechnen ist. Im Rahmen von Art. 11 Abs. 1 lit . g ELG ist nämlich auf jenes hypothetische Einnahmentotal abzu stellen, das vorliegen würde, wenn die Verzichtshandlung nicht erfolgt wäre ( Jöhl / Usinger -Egger, Ergänzungsleistungen zur AHV/IV, in: SBVR XIV, Soziale Sicherheit, 3. Auflage 2016, S. 1892 Rz 208) . Es ist mithin zu prüfen, ob der Beschwerdeführer im Rahmen der güterrechtlichen Auseinandersetzung ohne die Verzichtshandlung Anspruch auf die Hälfte des Wertes der Liegenschaft gehabt hätte.</w:t>
      </w:r>
    </w:p>
    <w:p>
      <w:r>
        <w:rPr>
          <w:b/>
        </w:rPr>
        <w:t>E. 3.7</w:t>
      </w:r>
    </w:p>
    <w:p>
      <w:r>
        <w:t>Nach dem Gesagten ist festzuhalten, dass zur Beurteilung, ob in der Anspruchs berechnung ab Juni 2020 zu Recht die Hälfte des geschätzten Verkehrswertes der Liegenschaft in A.___</w:t>
      </w:r>
    </w:p>
    <w:p>
      <w:r>
        <w:t>unter dem Titel Vermögensverzicht im Sinne von Art. 11 Abs. 1 lit . g ELG berücksichtigt wurde, bei derzeitiger Aktenlage keine hinreichende Entscheidgrundlage gegeben ist und die Beschwerdegegnerin daher ergänzende Ab klärungen dazu vorzunehmen hat.</w:t>
      </w:r>
    </w:p>
    <w:p>
      <w:r>
        <w:t>Die Beschwerde ist somit in dem Sinne gutzuheissen, dass der angefochtene Ein spracheentscheid vom 1 4. April 2021 ( Urk. 2) aufzuheben und die Sache an die Beschwerdegegnerin zurückzuweisen ist, damit sie nach erfolgter Ab klärung im Sinne der Erwägungen über den An spruch auf Zusatzleistungen des Beschwerde führers ab dem 1. Juni 2020 neu verfüge. Das Gericht erkennt: 1.</w:t>
      </w:r>
    </w:p>
    <w:p>
      <w:r>
        <w:t>Die Beschwerde wird in dem Sinne gutgeheissen , dass der angefochtene Einsprache entscheid vom 1 4. April 202 1</w:t>
      </w:r>
    </w:p>
    <w:p>
      <w:r>
        <w:t>aufgehoben und die Sache an die Beschwerdegegnerin zurückgewiesen wird, damit sie nach erfolgter Abklärung im Sinne der Erwägungen über den Anspruch auf Zusatzleistungen des Beschwerdeführers ab dem 1. Juni 2020 neu verfüge. 2.</w:t>
      </w:r>
    </w:p>
    <w:p>
      <w:r>
        <w:t>Das Verfahren ist kostenlos.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