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ZL.2021.00021 vom 7. Juni 2022</w:t>
      </w:r>
    </w:p>
    <w:p>
      <w:r>
        <w:t>ZH Sozialversicherungsgericht, 2022-06-07, DE</w:t>
      </w:r>
    </w:p>
    <w:p>
      <w:r>
        <w:rPr>
          <w:b/>
        </w:rPr>
        <w:t xml:space="preserve">Quelle: </w:t>
      </w:r>
      <w:r>
        <w:t>https://mcp.opencaselaw.ch/entscheid/zh_sozialversicherungsgericht_ZL.2021.00021</w:t>
      </w:r>
    </w:p>
    <w:p>
      <w:r>
        <w:t>FR: ZH_SOZIALVERSICHERUNGSGERICHT ZL.2021.00021 du 7 juin 2022</w:t>
      </w:r>
    </w:p>
    <w:p>
      <w:r>
        <w:t>IT: ZH_SOZIALVERSICHERUNGSGERICHT ZL.2021.00021 del 7 giugno 2022</w:t>
      </w:r>
    </w:p>
    <w:p>
      <w:pPr>
        <w:pStyle w:val="Heading2"/>
      </w:pPr>
      <w:r>
        <w:t>Erwägungen</w:t>
      </w:r>
    </w:p>
    <w:p>
      <w:r>
        <w:rPr>
          <w:b/>
        </w:rPr>
        <w:t>E. 1</w:t>
      </w:r>
    </w:p>
    <w:p>
      <w:r>
        <w:t>Die Durchführungsstelle für Zusatzleistungen zur AHV/IV der Gemeinde Y.___</w:t>
      </w:r>
    </w:p>
    <w:p>
      <w:r>
        <w:t>forderte mit Verfüg ung vom 1 7. November 2020 ( Urk. 9/607 ; vgl. auch Urk. 9/581-582 sowie Urk. 9/586-587 ) und Einspracheents cheid vom 9. Februar 2021 ( Urk.</w:t>
      </w:r>
    </w:p>
    <w:p>
      <w:r>
        <w:rPr>
          <w:b/>
        </w:rPr>
        <w:t>E. 1.1</w:t>
      </w:r>
    </w:p>
    <w:p>
      <w:r>
        <w:t>Gemäss</w:t>
      </w:r>
    </w:p>
    <w:p>
      <w:r>
        <w:t>Art. 1 Abs. 1 des Bundesgesetzes über die Ergänzungsleistungen (ELG) sind die Bestimmungen des Bu ndesgesetzes vom 6. Oktober 200</w:t>
      </w:r>
    </w:p>
    <w:p>
      <w:r>
        <w:rPr>
          <w:b/>
        </w:rPr>
        <w:t>E. 1.2</w:t>
      </w:r>
    </w:p>
    <w:p>
      <w:r>
        <w:t>Nach § 19 ZLG sind rechtmässig bezogene Beihilfen in der Regel zurückzuerstat ten, wenn bisherige oder frühere Bezügerinnen und Bezüger in günstige Verhält nisse gekommen sind ( Abs. 1 lit . a), und aus dem Nachlass einer bisher oder frü her Beihilfe beziehenden Person; sind unter anderem Ehegatten oder Kinder Erben, ist die Rückerstattung nur von demjenigen Teil des Nachlasses zu leisten, der den Betrag von 25‘000 Franken übersteigt ( Abs. 1 lit . b).</w:t>
      </w:r>
    </w:p>
    <w:p>
      <w:r>
        <w:t>Rückerstattungsansprüche verjähren nach Ablauf von fünf Jahren, seitdem das mit der Durchführung betraute Organ von ihrem Entstehen Kenntnis erhalten hat, in jedem Fall aber nach Ablauf von zehn Jahren seit der letzten Beihilfe zahlung ( § 19 Abs.</w:t>
      </w:r>
    </w:p>
    <w:p>
      <w:r>
        <w:rPr>
          <w:b/>
        </w:rPr>
        <w:t>E. 2</w:t>
      </w:r>
    </w:p>
    <w:p>
      <w:r>
        <w:t>Dagegen erhob X.___ , vertreten durch Rechtsanwalt Patrick Stutz, mit Ein gabe vom 1 1. März 2021 Beschwerde mit den Rechtsbegehren, der angefochtene Einspracheentscheid sei aufzuheben und es sei festzustellen, dass die Rück forderung von Fr. 43'339.-- rechtswidrig und der Beschwerdeführer von dieser Rückzahlung zu befreien sei; ferner sei im Sinne eines inzidenten Normenkon trollver fahrens festzustellen, dass § 19 Abs. 1-4 des kantonalzürcherischen Zusatzleistungsgesetzes Art. 49 der Bundesverfassung verletze und folglich nicht anwendbar sei. I n verfahrensrechtlicher Hinsicht</w:t>
      </w:r>
    </w:p>
    <w:p>
      <w:r>
        <w:t>beantragte er , es sei der Beschwerde die aufschiebende Wirkung zuzuerkennen ( Urk. 1 S. 2). I n der Beschwerdeantwort vom 2 9. April 2021 anerkannte die Durchführungsstelle, dass eine Vollstreckung der Rückforderung erst nach rechtskräftiger Erledigung des Beschwerdeverfahrens zulässig sei, und beantragte im Übrigen die Abweisung de r Beschwerde ( Urk. 8 S. 2). Am 6. Mai 2021 reichte die Durchführungsstelle auf Ersuchen des Sozialversicherungsgerichts ( Urk. 10) die Reglemente der Gemeinde Y.___ und die Gemeinderatsbeschlüsse über die Ausrichtung von Gemeinde zuschüssen zu den Akten ( Urk. 12/1-6; vgl. auch Urk. 11). Mit Verfügung vom 1 2. Mai 2021 hiess die Referentin das Gesuch um Gewährung der aufschiebenden Wirkung der Beschwerde gut und hob Dispositiv-Ziffer II. des angefochtenen Ein spracheentscheids auf ( Urk. 13). In der Replik vom 2 8. Juni 2021 hielt der Beschwerdeführer an seinen Anträgen fest und nahm zu den nachgereichten Reg lementen der Gemeinde Y.___ Stellung ( Urk. 18; vgl. auch Urk. 13 S. 3). Die Durchführungsstelle verzichtete am 6. Juli 2021 auf eine Duplik ( Urk. 20), wovon dem Beschwerdeführer mit Gerichtsverfügung vom 7. Juli 2021 Kenntnis gege ben wurde ( Urk. 23). Das Gericht zieht in Erwägung: 1.</w:t>
      </w:r>
    </w:p>
    <w:p>
      <w:r>
        <w:rPr>
          <w:b/>
        </w:rPr>
        <w:t>E. 2.1</w:t>
      </w:r>
    </w:p>
    <w:p>
      <w:r>
        <w:t>Mit dem angefochtenen Einspracheentscheid</w:t>
      </w:r>
    </w:p>
    <w:p>
      <w:r>
        <w:t>schützte die Durchführungsstelle die am 1 7. November 2020 gegenüber dem einzigen Erben X.___</w:t>
      </w:r>
    </w:p>
    <w:p>
      <w:r>
        <w:t>verfügte Rückforderung der von Z.___ sel. im Zeitraum von März 1999 bis Feb ruar 2020 rechtmässig bezogenen kantonalen Beihilfen von Fr. 27‘674.-- und G emeindezuschüsse von Fr. 15‘665.-- (insgesamt Fr. 43‘339.--) . In der Begrün dung ihres Einspracheentscheids</w:t>
      </w:r>
    </w:p>
    <w:p>
      <w:r>
        <w:t>setzte sich die Durchführungsstelle in erster Linie mit der einspracheweise bestrittenen Vereinbarkeit von § 19 Abs.</w:t>
      </w:r>
    </w:p>
    <w:p>
      <w:r>
        <w:rPr>
          <w:b/>
        </w:rPr>
        <w:t>E. 2.2</w:t>
      </w:r>
    </w:p>
    <w:p>
      <w:r>
        <w:t>Der Beschwerdeführer macht demgegenüber im Wesentlichen geltend , § 19 Abs. 1-4 ZLG verstiessen unmittelbar gegen Bundesrecht und aufgrund der dero gativen Kraft des Bundesrechts auch gegen Art. 49 der Bundesverfassung (BV). Im Rahmen eines inzidenten Normenkontrollverfahrens sei dies durch das Sozi alver sicherungsgericht festzustellen. E s sei diesen Bestimmungen die Anwendung zu versagen, der angefochtene Einspracheentscheid sei aufzuheben und es sei festzustellen, dass die Rückforderung rechtswidrig sei ( Urk. 1 S. 7 f.). Seinen Standpunkt begründet der Beschwerdeführer damit, gemäss</w:t>
      </w:r>
    </w:p>
    <w:p>
      <w:r>
        <w:t>Art. 1 Abs. 1 ELG seien die Bestimmungen des ATSG auf die Leistungen nach dem 2. Kapitel anwendbar, soweit das ELG nicht ausdrücklich eine Abweichung vom ATSG vor sehe. Da das ELG die Verjährung nicht regle, gelte für diese in Anwendung von Art. 1 Abs. 1 ELG einzig Art. 25 ATSG. Aufgrund dieser Gesetzeslogik gewähre Art. 2 Abs. 2 ELG den Kantonen keine Legiferierungskompetenz zur Regelung der Verjährung, so dass die Regelung in § 19 Abs.</w:t>
      </w:r>
    </w:p>
    <w:p>
      <w:r>
        <w:rPr>
          <w:b/>
        </w:rPr>
        <w:t>E. 3</w:t>
      </w:r>
    </w:p>
    <w:p>
      <w:r>
        <w:t>über den All gemeinen Teil des Sozialversicherungsrechts (ATSG) auf die Leistungen nach dem 2. Kapitel anwendbar, soweit das vorliegende Gesetz nicht ausdrücklich eine Abweichung vom ATSG vorsieht.</w:t>
      </w:r>
    </w:p>
    <w:p>
      <w:r>
        <w:t>Nach Art. 2 Abs. 1 ELG gewähren d er Bund und die Kantone Personen, welche die gesetzlichen Voraussetzungen nach Art. 4-6 des ELG erfüllen, Ergänzungs leistungen zur Deckung ihres Existenzbedarfs . Die Kantone können gemäss</w:t>
      </w:r>
    </w:p>
    <w:p>
      <w:r>
        <w:t>Art. 2 Abs. 2 ELG über den Rahmen dieses Gesetzes hinausgehende Leistungen gewäh ren und dafür besondere Voraussetzungen festlegen. Die Erhebung von Arbeit geberbeiträgen ist ausgeschlossen.</w:t>
      </w:r>
    </w:p>
    <w:p>
      <w:r>
        <w:t>Im Kanton Zürich werden nebst den bundesrechtlichen Ergänzungsle istungen kantonale Beihilfen ( § 1 Abs. 1 lit . b sowie § 13-19 des kantonalen Zusatzleis tungsgesetzes [ZLG] ) sowie Gemeindezuschüsse ( § 1 Abs. 1 lit . c, § 20 und § 20 a ZLG ) gewährt.</w:t>
      </w:r>
    </w:p>
    <w:p>
      <w:r>
        <w:t>In der Gemeinde</w:t>
      </w:r>
    </w:p>
    <w:p>
      <w:r>
        <w:t>Y.___ sind die Gemeindezuschüsse in der Ver ordnung beziehungsweise, ab 1. Januar 2001, im Reglement über die Ausrichtung</w:t>
      </w:r>
    </w:p>
    <w:p>
      <w:r>
        <w:t>der Gemeindezuschüsse geregelt ( Urk. 12/1-3 ).</w:t>
      </w:r>
    </w:p>
    <w:p>
      <w:r>
        <w:rPr>
          <w:b/>
        </w:rPr>
        <w:t>E. 3.1</w:t>
      </w:r>
    </w:p>
    <w:p>
      <w:r>
        <w:t>Es ist unbestrittenermassen ausgewiesen ( Urk. 1 S. 4, Urk. 2 S. 2) , dass der am 2 0. F ebruar 2020 verstor bene Z.___ sel. ( Urk. 9/570-572) , dessen einzi ger Erbe der Beschwerdeführer ist</w:t>
      </w:r>
    </w:p>
    <w:p>
      <w:r>
        <w:t>( Urk. 1 S. 2, Urk. 9/570, Urk. 9/572, Urk. 9/ 579- 580) , im Zeitraum von März 1999 bis Februar 2020 rechtmässig</w:t>
      </w:r>
    </w:p>
    <w:p>
      <w:r>
        <w:t>kantonale Bei hilfen von Fr. 27‘674.-- und Gemeindezuschüsse von Fr. 15‘665.-- (insgesamt Fr. 43‘339.--) bezog en hat</w:t>
      </w:r>
    </w:p>
    <w:p>
      <w:r>
        <w:t>( Urk. 9/581-584) und dass grundsätzlich alle Voraus setzungen für die Rückforderung der Gesamtsumme gestützt auf § 19 Abs. 1 lit . b und § 19 Abs.</w:t>
      </w:r>
    </w:p>
    <w:p>
      <w:r>
        <w:rPr>
          <w:b/>
        </w:rPr>
        <w:t>E. 3.2</w:t>
      </w:r>
    </w:p>
    <w:p>
      <w:r>
        <w:t>festgehalten, dass die (damals noch) fehlende Regelung der Rückerstattung unrechtmässig bezogener Beihilfen im ZLG nicht den Weg frei mache für die (sogar nur sinngemässe ) Anwendung von Art. 25 Abs. 1 ATSG. Erforderlich sei eine kantonalrechtliche Grundlage (unter Hinweis auf BGE 134 I 179 E. 6 .2). Im Urteil 8C_805/2019 vom 6. Mai 2020 E. 5.3 hat es sodann bestätigt, dass Art. 2 Abs. 2 ELG den kantonalen Gesetzgeber ermächtige, die kantonalen Leistungen eigenständig zu regeln, wobei sich diese Befugnis ohne Weiteres auch auf die Rückforderung der gestützt auf kantonales Recht ausgerichteten Unterstützungs beiträge beziehungsweise deren Verjährung erstrecke (so auch die Rechtspre chung des Sozialversicherungsgerichts des Kantons Zürich in den Urteilen ZL.2018.00049 vom 3 0. September 2019</w:t>
      </w:r>
    </w:p>
    <w:p>
      <w:r>
        <w:t>E. 3 und ZL.2013.00035 vom 2 5. No vember 2014</w:t>
      </w:r>
    </w:p>
    <w:p>
      <w:r>
        <w:t>E. 3 ). Nach dem Gesagten besteht kein Anlass für eine Praxisände rung.</w:t>
      </w:r>
    </w:p>
    <w:p>
      <w:r>
        <w:rPr>
          <w:b/>
        </w:rPr>
        <w:t>E. 3.3</w:t>
      </w:r>
    </w:p>
    <w:p>
      <w:r>
        <w:t>Die vom Beschwerdeführer geforderte inzidente (auch akzessorisch e , konkrete [vgl. das Urteil des Bundesgerichts 8C_323/2013 vom 1 5. Januar 2014 E. 3.2] ) Normenkontrolle führt also zum Ergebnis, dass der kantonale Gesetzgeber für die Rückforderung der kantonalen Zusatzleistungen und deren Verjährung mit § 19 ZLG eine eigenständige Regelung aufstellen durfte , die von den bundesrechtli chen Vorgaben in Art. 25 ATSG abweicht . Die G emeinde durfte diese Regelung – über die Verweisung in Art. 1 Abs. 2 des Gemeindezuschussreglements ( Urk. 12/2) – ebenfalls auf die Rückforderung ihre r Zuschüsse anwenden. Dass sie dies aufgrund der engen Bezugnahme zu den Voraussetzungen für die Be i hilfen , die erfüllt sein müssen (vgl. jeweils Art.</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