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ZL.2020.00101 vom 18. August 2021</w:t>
      </w:r>
    </w:p>
    <w:p>
      <w:r>
        <w:t>ZH Sozialversicherungsgericht, 2021-08-18, DE</w:t>
      </w:r>
    </w:p>
    <w:p>
      <w:r>
        <w:rPr>
          <w:b/>
        </w:rPr>
        <w:t xml:space="preserve">Quelle: </w:t>
      </w:r>
      <w:r>
        <w:t>https://mcp.opencaselaw.ch/entscheid/zh_sozialversicherungsgericht_ZL.2020.00101</w:t>
      </w:r>
    </w:p>
    <w:p>
      <w:r>
        <w:t>FR: ZH_SOZIALVERSICHERUNGSGERICHT ZL.2020.00101 du 18 août 2021</w:t>
      </w:r>
    </w:p>
    <w:p>
      <w:r>
        <w:t>IT: ZH_SOZIALVERSICHERUNGSGERICHT ZL.2020.00101 del 18 agosto 2021</w:t>
      </w:r>
    </w:p>
    <w:p>
      <w:pPr>
        <w:pStyle w:val="Heading2"/>
      </w:pPr>
      <w:r>
        <w:t>Erwägungen</w:t>
      </w:r>
    </w:p>
    <w:p>
      <w:r>
        <w:rPr>
          <w:b/>
        </w:rPr>
        <w:t>E. 1.1</w:t>
      </w:r>
    </w:p>
    <w:p>
      <w:r>
        <w:t>X.___ , geboren 1954, bezieht aufgrund ihrer Anmeldung im Jahr 2005 ( Urk. 7/1) Zusatzleistungen ( bundesrechtliche Ergänzungsleistungen, kantonale Beihilfe und Gemeindezuschüsse), die ihr von der Gemeinde Y.___ ,</w:t>
      </w:r>
    </w:p>
    <w:p>
      <w:r>
        <w:t>Durchführungsstelle für Zusatzleistungen zur AHV/IV, ausgerichtet werden (vgl. die Verfügungen in Urk. 7/2-29). Zuletzt wurden ihr mit Verfügung vom 1 8. Januar 2019 Zusatzleistungen für das Jahr 2019 und mit Verfügung vom 5. Februar 2020 Zusatzleistungen für das Jahr 2020 zugesprochen ( Urk. 7/28 und Urk. 7/29).</w:t>
      </w:r>
    </w:p>
    <w:p>
      <w:r>
        <w:rPr>
          <w:b/>
        </w:rPr>
        <w:t>E. 1.2</w:t>
      </w:r>
    </w:p>
    <w:p>
      <w:r>
        <w:t>Im Sommer 2020 leitete die Durch führungsstelle der Gemeinde Y.___ eine periodische Überprüfung in die Wege und holte hierzu die Angaben und Unterlagen von X.___</w:t>
      </w:r>
    </w:p>
    <w:p>
      <w:r>
        <w:t>sowie de s Gemeindesteueramtes ein (Urk. 7/31-46). Dabei erhi elt sie von der Abrechnung der p olitischen Gemeinde Y.___ vom 1 3. Dezember 2019 Kenntnis , mit welcher X.___ für ihr Mandat als Mitglied der Sozialbehörde (vgl. den Aus zug aus der Website der Gemeinde Y.___ in Urk. 7/62 ) ein Bet rag von Fr. 5'480.-- gutgeschrieben worden war, bestehend aus einem Teilb etr ag von Fr. 3'240.-- unter dem Titel «Behördenentschädigung» und einem Teilbetrag von Fr. 2'240.-- unter dem Titel «Sitzungsgelder» ( Urk. 7/39). Gestützt darauf berech nete sie mit Verfügung vom 2 2. September 2020 den Zusatzleistungsanspruch von X.___ ab dem 1. Januar 2020 neu und rechnete ihr dabei den Betrag von Fr. 5'480.-- als Einnahme an ( Urk. 7/30; vgl. das Berechnungs blatt in Urk. 7/49). Aus dieser Neuberechnung resultierte für die Monate Januar bis September 2020 ein Betrag von Fr. 2'241.-- an zu</w:t>
      </w:r>
    </w:p>
    <w:p>
      <w:r>
        <w:t>viel ausbezahlten Ergän zungsleistungen, den die Durchführ ungsstelle mit separater Verfüg ung ebenfalls vom 2 2. September 2020 von X.___</w:t>
      </w:r>
    </w:p>
    <w:p>
      <w:r>
        <w:t>zurückforderte ( Urk. 7/50).</w:t>
      </w:r>
    </w:p>
    <w:p>
      <w:r>
        <w:rPr>
          <w:b/>
        </w:rPr>
        <w:t>E. 1.3</w:t>
      </w:r>
    </w:p>
    <w:p>
      <w:r>
        <w:t>X.___</w:t>
      </w:r>
    </w:p>
    <w:p>
      <w:r>
        <w:t>erhob gegen die beiden Verfügungen vom 2 2. Septem ber 2020 mit Eingabe vom 3 0. September 2020 Einsprache ( Urk. 7/52); die Gemeinde wies die Einsprache mit Entscheid vom 2 6. November 2020 ab ( Urk.</w:t>
      </w:r>
    </w:p>
    <w:p>
      <w:r>
        <w:rPr>
          <w:b/>
        </w:rPr>
        <w:t>E. 2</w:t>
      </w:r>
    </w:p>
    <w:p>
      <w:r>
        <w:t>.2</w:t>
      </w:r>
    </w:p>
    <w:p>
      <w:r>
        <w:t>Die anerkannten Ausgaben sind in Art. 10 ELG, die anrechenbaren Einnahmen in Art. 11 ELG aufgelistet.</w:t>
      </w:r>
    </w:p>
    <w:p>
      <w:r>
        <w:t>Zu den anerkannten Ausgaben gehören ein nach oben begrenzter jährlicher Betrag für den allgemeinen Lebensbedarf ( Art. 10 Abs. 1 lit . a ELG), der eben falls auf einen jährlichen Höchst betrag begrenzte Mietzins ( Art. 10 Abs. 1 lit . b ELG) und ein jährlicher Pauschalbet rag für die obligatorische Krankenpflegeversi cherung ( Art. 10 Abs.</w:t>
      </w:r>
    </w:p>
    <w:p>
      <w:r>
        <w:rPr>
          <w:b/>
        </w:rPr>
        <w:t>E. 2.1</w:t>
      </w:r>
    </w:p>
    <w:p>
      <w:r>
        <w:t>Gemäss Art. 9 Abs. 1 ELG entspricht die jährli che Ergänzungsleistung dem Betrag, um den die anerkannten Ausgaben die anrec henbaren Einnahmen über steigen.</w:t>
      </w:r>
    </w:p>
    <w:p>
      <w:r>
        <w:rPr>
          <w:b/>
        </w:rPr>
        <w:t>E. 2.3</w:t>
      </w:r>
    </w:p>
    <w:p>
      <w:r>
        <w:t>In Art. 31 Abs. 1 des Bundesgesetzes über den Allgemeinen Teil des Sozialversi cherungsrechts (ATSG) und in der ergänzungsleistungsrechtlichen Spe zialnorm in Art. 24 ELV wird der Leistungsbezügerin und dem Leistungsbezüger auferlegt, dem Versicherungsträger beziehungsweise der Durchführungsstelle jede wesent liche Änderung in den leistungsrelevanten Verhältniss en zu melden. Des Wei te ren hat nach Art. 31 Abs. 2 ATSG auch eine an der Durchführung der Sozial versicherung beteiligte Person, die von einer Änderung der für die Leistung massgebenden Verhältnisse erfährt, die Pflicht, dies dem Versicherungsträger zu melden. Ge änderte Verhältnisse, die sich zuungunsten der Bezüger auswirken, sind grundsätzlich für die Zukunft zu berücksichtigen. Vorbehalten wird jedoch die Rückforderung bei Verletzung der Meldepflicht ( Art. 25 Abs. 2 lit . c und lit . d ELV ).</w:t>
      </w:r>
    </w:p>
    <w:p>
      <w:r>
        <w:t>Nach dem allgemeinen Grundsatz in Art. 25 Abs. 1 Satz 1 ATSG sind zu Unrecht ausgerichtete Ergänzungsleistungen zurückzuerstatten. Nach der Rechtsprechung zu diesem Grundsatz dürfen jedoch formell rechtskräftig ausgerichtete Leistungen nur dann zurückgefordert werden, wenn ein Rückkommenstitel besteht, wenn also entweder die Vorausse tzungen für eine pr ozessuale Revision ( Art. 53 Abs. 1 ATSG) oder die Voraussetzungen für eine Wiedererwägung ( Art. 53 Abs. 2 ATSG)</w:t>
      </w:r>
    </w:p>
    <w:p>
      <w:r>
        <w:t>erfüllt sind (Urteil des Bundesgerichts 9C_695/2015 vom 9. August 2016 E. 2.1 mit Hinweis auf BGE 130 V 380 E. 2.3.1 und auf das Urteil des Bundesgerichts 8C_792/2015 vom 3</w:t>
      </w:r>
    </w:p>
    <w:p>
      <w:r>
        <w:rPr>
          <w:b/>
        </w:rPr>
        <w:t>E. 3</w:t>
      </w:r>
    </w:p>
    <w:p>
      <w:r>
        <w:t>lit . d ELG).</w:t>
      </w:r>
    </w:p>
    <w:p>
      <w:r>
        <w:t>Zu den anrechenbaren Einnahmen zählen unter anderem zwei Drittel der Erwerbs einkünfte, soweit sie einen Frei betrag von Fr. 1'000.-- (Allein st ehende) beziehungsweise von Fr. 1'500.-- (Ehepaare und Personen mit Kindern) über steigen ( Art. 11 Abs. 1 lit . a ELG), die Renten, Pensionen und anderen wiederkeh renden Leistungen, einschliesslich der Renten der AHV und der IV ( Art. 11 Abs. 1 lit . d ELG), und ein bestimmter Prozentsatz des Ve rmögens (Art. 11 Abs. 1 lit . c ELG).</w:t>
      </w:r>
    </w:p>
    <w:p>
      <w:r>
        <w:t>Zeitlich massgebend für die Berechnung der jährlichen Ergänzungsleistung sind nach Art. 23 Abs. 1 ELV in der Regel die während des vorausgegangenen Kalen derjahres erzielten anrechen baren Einnahmen sowie das am 1. Januar des Bezugs jahres vorhandene Vermögen.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