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ZL.2020.00048 vom 5. Januar 2022</w:t>
      </w:r>
    </w:p>
    <w:p>
      <w:r>
        <w:t>ZH Sozialversicherungsgericht, 2022-01-05, DE</w:t>
      </w:r>
    </w:p>
    <w:p>
      <w:r>
        <w:rPr>
          <w:b/>
        </w:rPr>
        <w:t xml:space="preserve">Quelle: </w:t>
      </w:r>
      <w:r>
        <w:t>https://mcp.opencaselaw.ch/entscheid/zh_sozialversicherungsgericht_ZL.2020.00048</w:t>
      </w:r>
    </w:p>
    <w:p>
      <w:r>
        <w:t>FR: ZH_SOZIALVERSICHERUNGSGERICHT ZL.2020.00048 du 5 janvier 2022</w:t>
      </w:r>
    </w:p>
    <w:p>
      <w:r>
        <w:t>IT: ZH_SOZIALVERSICHERUNGSGERICHT ZL.2020.00048 del 5 gennaio 2022</w:t>
      </w:r>
    </w:p>
    <w:p>
      <w:pPr>
        <w:pStyle w:val="Heading2"/>
      </w:pPr>
      <w:r>
        <w:t>Erwägungen</w:t>
      </w:r>
    </w:p>
    <w:p>
      <w:r>
        <w:rPr>
          <w:b/>
        </w:rPr>
        <w:t>E. 1</w:t>
      </w:r>
    </w:p>
    <w:p>
      <w:r>
        <w:t>3. Januar 2003 wurde er</w:t>
      </w:r>
    </w:p>
    <w:p>
      <w:r>
        <w:t>beim Amt für Zusatzleistungen zur AHV/IV der Stadt Zürich (nachstehend: AZL) zum Bezug von Zusatzleistungen angemeldet (Urk. 12/ 6). In der Folge bezog er rück wirkend ab April 2002 Zusatzleistungen (vgl. Urk. 24/V1, Urk. 12/154) .</w:t>
      </w:r>
    </w:p>
    <w:p>
      <w:r>
        <w:rPr>
          <w:b/>
        </w:rPr>
        <w:t>E. 1.1</w:t>
      </w:r>
    </w:p>
    <w:p>
      <w:r>
        <w:t>Der Bund und die Kantone gewähren Personen, welche die gesetzlichen Voraus setzungen nach Art. 4-6 des Bundesgesetzes über Ergänzungsleistungen zur Alters-, Hinterlassenen- und Invalidenversicherung (ELG) erfüllen, Zusatz leistungen zur Deckung ihres Existenzbedarfs ( Art.</w:t>
      </w:r>
    </w:p>
    <w:p>
      <w:r>
        <w:rPr>
          <w:b/>
        </w:rPr>
        <w:t>E. 1.2</w:t>
      </w:r>
    </w:p>
    <w:p>
      <w:r>
        <w:t>Zu den anrechenbaren Einnahmen gehören nach Art. 11 Abs. 1 ELG, in der bis 3 1. Dezembe r 2020 gültig gewesenen Fassung, unter anderem zwei Drittel der Erwerbseinkünfte, soweit sie bei alleinstehenden Personen jährlich Fr. 1'000.-- und bei Ehepaaren Fr. 1'500.-- übersteigen ( Art. 11 Abs. 1 lit . a ELG).</w:t>
      </w:r>
    </w:p>
    <w:p>
      <w:r>
        <w:rPr>
          <w:b/>
        </w:rPr>
        <w:t>E. 1.3</w:t>
      </w:r>
    </w:p>
    <w:p>
      <w:r>
        <w:t>Unrechtmässig bezogene Leistungen sind gemäss Art. 1 Abs. 1 ELG in Ver bindung mit Art. 25 Abs. 1 des Bundesgesetzes über den Allgemeinen Teil des Sozialversicherungsrechts (A TSG) zurückzuerstatten (Satz 1).</w:t>
      </w:r>
    </w:p>
    <w:p>
      <w:r>
        <w:t>Die Unrechtmässigkeit des Bezugs von Ergänzungsleistungen ergibt sich dadurch, dass die Berechnungsgrundlagen rückwirkend angepasst werden und aus der Neuberechnung ein tieferer Anspruch resultiert als ursprünglich ausgerichtet ( Carigiet /Koch, Ergänzungsleistungen zur AHV/IV, 3. Auflage, Zürich/Basel/Genf 20 21 , S. 134 ).</w:t>
      </w:r>
    </w:p>
    <w:p>
      <w:r>
        <w:t>Die Pflicht zur Rückerstattung unrechtmässig bezogener Leistungen besteht un abhängig von einem allfälligen Verschulden. Selbst ein der Verwaltung zuzu rechnender Fehler ändert nichts an der Rückerstattungspflicht (Müller, Rechtsprechung des Bundesgerichts zum ELG, 3. Auflage 2015, Rz 8 zu Art. 25 ATSG; Urteil des Bundesgerichts P 63/2004 vom 2. Februar 2006 E. 2.2.3). Bei der Neuberechnung der Ergänzungsleistungen zur Ermittlung des Rück erstattungsbetrages ist von den Verhältnissen auszugehen, wie sie im Rückerstattungszeitraum tatsächlich bestanden haben. Namentlich sind alle anspruchsrelevanten Tatsachenänderungen zu berücksichtigen (BGE 138 V 298 E. 5, 126 V 23 E. 4b, 42 E. 2b, 122 V 19 E. 5 und E. 5c; Urteil des Bundesgerichts P 63/02 vom 8. Mai 2003 E. 3.3). Ob ein Leistungsbezug unrechtmässig ist, beurteilt sich nach der Sach- und Rechtslage, die zur Zeit der Ausrichtung der zurückzufordernden Leistung bestand (Müller, a.a.O., Rz 10 zu Art. 25 ATSG). 1.</w:t>
      </w:r>
    </w:p>
    <w:p>
      <w:r>
        <w:rPr>
          <w:b/>
        </w:rPr>
        <w:t>E. 1.5</w:t>
      </w:r>
    </w:p>
    <w:p>
      <w:r>
        <w:t>Ge mäss Art. 25 Abs. 2 ATSG erlischt der Rückforderungsanspruch mit dem Ab lauf eines Jahres, nachdem die Versicherungseinrichtung davon Kenntnis er halten hat, spätestens aber mit dem Ablauf von fünf Jahren nach der Entrichtung der einzelnen Leistung. Wird der Rückerstattungsanspruch aus einer strafbaren Handlung hergeleitet, für welche das Strafrecht eine längere Verjährungsfrist vor sieht, so ist diese Frist massgebend.</w:t>
      </w:r>
    </w:p>
    <w:p>
      <w:r>
        <w:rPr>
          <w:b/>
        </w:rPr>
        <w:t>E. 1.6</w:t>
      </w:r>
    </w:p>
    <w:p>
      <w:r>
        <w:t>Bei diesen Fristen handelt es sich um Verwirkungsfristen, die immer und von Amtes wegen zu berücksichtigen sind (BGE 133 V 582 E. 4.1; 128 V 12 E. 1). Für den Beginn der relativen einjährigen Verwirkungsfrist sind nicht das erstmalige unrichtige Handeln und die daran anknüpfende unrechtmässige Leistungs ausrichtung massgebend. Abzustellen ist auf jenen Tag, an dem die Verwaltung später bei der ihr gebotenen und zumutbaren Aufmerksamkeit den Fehler hätte erkennen müssen und dass die Voraussetzungen für eine Rückerstattung bestehen (BGE 122 V 274 f. E. 5a und 5b/ aa ; SVR 2002 IV Nr. 2, I 678/00, E. 3b). Mass gebend für den Beginn der absoluten Frist von fünf Jahren ist der tatsächliche Bezug der einzelnen Leistung.</w:t>
      </w:r>
    </w:p>
    <w:p>
      <w:r>
        <w:rPr>
          <w:b/>
        </w:rPr>
        <w:t>E. 1.7</w:t>
      </w:r>
    </w:p>
    <w:p>
      <w:r>
        <w:t>Bei der Beurteilung einer Rückforderung unrechtmässig bezogener Sozial versicherungsleistungen haben die Rechtsanwendenden beziehungsweise die kantonalen Versicherungsgerichte zu prüfen, ob sich die Rückforderung aus einer strafbaren Handlung herleitet. Liegt bereits ein verurteilendes oder frei sprechendes Strafurteil vor, so ist die über den Rückforderungsanspruch befindende Behörde daran gebunden. Dasselbe gilt für eine Einstellungs verfügung der zuständigen strafrechtlichen Untersuchungsbehörden, wenn sie die gleiche definitive Wirkung wie ein freisprechendes Urteil hat. Fehlt es indessen an einem Strafurteil, haben die Verwaltung und gegebenenfalls das Sozial versicherungsgericht vorfrageweise selber darüber zu befinden, ob sich die Rück forderung aus einer strafbaren Handlung herleite und der Täter dafür strafbar wäre. Dabei gelten die gleichen beweisrechtlichen Anforderungen wie im Straf verfahren, so dass der sonst im Sozialversicherungsrecht geltende Beweisgrad der überwiegenden Wahrscheinlichkeit nicht ausreicht (BGE 138 V 74 E. 6.1, 140 IV 206 E. 6.2).</w:t>
      </w:r>
    </w:p>
    <w:p>
      <w:r>
        <w:rPr>
          <w:b/>
        </w:rPr>
        <w:t>E. 1.8</w:t>
      </w:r>
    </w:p>
    <w:p>
      <w:r>
        <w:t>Im Bereich der Ergänzungsleistungen kommen als Straftaten, für welche eine längere strafrechtliche Verwirkungsfrist gilt, in erster Linie die Straftatbestände von Art. 143 des Schweizerischen Strafgesetzbu chs (StGB; Betrug) und von Art. 31 ELG ( unwahre und unvollständige Angaben, Verletzung einer Melde pflicht) in Betracht (BGE 140 IV 206 E. 6.3).</w:t>
      </w:r>
    </w:p>
    <w:p>
      <w:r>
        <w:t>Wenn der Straftatbestand gemäss Art. 31 ELG erfüllt ist, verlängert sich die Ver wirkungsfrist auf sieben Jahre ( Art. 97 Abs. 1 lit . d StGB), wenn der Straftat bestand Betrug erfüllt ist auf 15 Jahre ( Art. 97 Abs. 1 lit . b StGB).</w:t>
      </w:r>
    </w:p>
    <w:p>
      <w:r>
        <w:rPr>
          <w:b/>
        </w:rPr>
        <w:t>E. 1.9</w:t>
      </w:r>
    </w:p>
    <w:p>
      <w:r>
        <w:t>Gemäss Art. 31 Abs. 1 ATSG haben die Bezügerinnen und Bezügern, ihre Angehörigen oder Dritte, denen die Leistung zukommt, jede wesentliche Än derung in den für eine Leistung massgebenden Verhältnissen dem Versicherungs träger oder dem jeweils zuständigen Durchführungsorgan zu melden.</w:t>
      </w:r>
    </w:p>
    <w:p>
      <w:r>
        <w:t>Art. 24 der Verordnung über Ergänzungsleistungen zur Alters-, Hinterlassenen- und Invalidenversicherung (ELV) konkretisiert die Meldepflicht von Art. 31 Abs. 1 ATSG. Danach haben die Anspruchsberechtigten, ihre gesetzlichen Vertreter oder gegebenenfalls Drittperson oder Behörden, welchen eine Ergänzungsleistung ausbezahlt wird, der kantonalen Durchführungsstelle von jeder Änderung der persönlichen und von jeder ins Gewicht fallenden Änderung der wirtschaftlichen Verhältnisse unverzüglich Mitteilung zu machen. Diese Meldepflicht erstreckt sich auch auf Veränderungen, welche bei an der Ergänzungsleistung beteiligten Familiengliedern der Bezugsberechtigten ein treten.</w:t>
      </w:r>
    </w:p>
    <w:p>
      <w:r>
        <w:rPr>
          <w:b/>
        </w:rPr>
        <w:t>E. 1.10</w:t>
      </w:r>
    </w:p>
    <w:p>
      <w:r>
        <w:t>Der Kanton Zürich kennt neben den bundesrechtlich geregelten Ergänzungs leistungen Beihilfen ( § 1 Abs. 1 lit . b ZLG). Nach § 19 ZLG sind rechtmässig bezogene Beihilfen unter anderem dann in der Regel zurückzuerstatten, wenn bisherige oder frühere Bezügerinnen und Bezüger in günstige Verhältnisse gekommen sind ( Abs. 1 lit . a). Über die Rückerstattung zu Unrecht bezogener kantonaler Leistungen e nt hält das ZLG keine Bestimmung, was indessen nicht etwa den Weg frei macht für die (sinngemässe) Anwendung von Art. 25 Abs. 1 ATSG. Gemäss bundesgerichtlicher Rechtsprechung ist § 19 ZLG a fortiori viel mehr auch auf zu Unrecht bezogene Leistungen anwendbar (Urteil des Bundes gerichts 9C_305/2 012 vom 6. August 2012 E. 3.2). Rückerstattungsansprüche verjähren nach Ablauf von fünf Jahren, seitdem das mit der Durchführung betraute Organ von ihrem Entstehen Kenntnis erhalten hat, in jedem Fall aber nach Ablauf von zehn Jahren seit der letzten Beihilfezahlung ( § 19 Abs.</w:t>
      </w:r>
    </w:p>
    <w:p>
      <w:r>
        <w:rPr>
          <w:b/>
        </w:rPr>
        <w:t>E. 2</w:t>
      </w:r>
    </w:p>
    <w:p>
      <w:r>
        <w:t>Abs. 1 ELG; § § 1, 13 und 20 Abs. 1 des Gesetzes des Kantons Zürich über die Zusatzleistungen zur Alters-, Hinterlassenen- und Invalidenversicherung, ZLG). Dabei entspricht die jährliche Ergänzungsleistung dem Betrag, um den die anerkannten Ausgaben die anrechenbaren Einnahmen übersteigen ( Art. 9 Abs. 1 ELG). Die anrechenb aren Einnahmen werden nach Art. 11 ELG berechnet.</w:t>
      </w:r>
    </w:p>
    <w:p>
      <w:r>
        <w:rPr>
          <w:b/>
        </w:rPr>
        <w:t>E. 2.1</w:t>
      </w:r>
    </w:p>
    <w:p>
      <w:r>
        <w:t>Die Beschwerdegegnerin begründete ihren Einspracheentscheid ( Urk. 2) damit, dass die Staatsanwaltschaft Zürich-Limmat mit Entscheid vom 2 3. Mai 2017 das eröffnete Untersuchungsverfahren wieder beendet habe, in der Erwägung, dass es am Strafbedürfnis fehle, nachdem Schuld und Tatfolgen gering seien. Diese rechtskräftige Einstellungsverfügung komme einem freisprechenden End entscheid gleich. Auch im Anschluss, seit Juni 2017, sei das Verfahren nicht wiederaufgenommen worden. In Anwendung von Art. 25 Abs. 2 Satz 1 ATSG sei also die Wiedererwägung von Leistungsperioden für die Zeit vor dem 1 3. August 2011 nicht zulässig gewesen (Verwirkung). Ansonsten habe sich am festgestellten Sachverhalt zur Rückforderung nichts geändert und insbesondere seien die ange rechneten Einkünfte für die Zeit von 1. September 2011 bis 3 0. September 2015 auch im Rahmen des Ermittlungs- und Untersuchungsverfahrens keineswegs widerlegt worden. Deshalb sei im Ergebnis die Rückerstattungsforderung auf die Zeit von 1. September 2011 bis 3 0. September 2015 zu beschränken und die Rückerstattungsverfügung in teilweiser Gutheissung der Einsprache zu senken (S.</w:t>
      </w:r>
    </w:p>
    <w:p>
      <w:r>
        <w:rPr>
          <w:b/>
        </w:rPr>
        <w:t>E. 4</w:t>
      </w:r>
    </w:p>
    <w:p>
      <w:r>
        <w:t>ZLG).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