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ZL.2020.00047 vom 3. Juli 2020</w:t>
      </w:r>
    </w:p>
    <w:p>
      <w:r>
        <w:t>ZH Sozialversicherungsgericht, 2020-07-03, DE</w:t>
      </w:r>
    </w:p>
    <w:p>
      <w:r>
        <w:rPr>
          <w:b/>
        </w:rPr>
        <w:t xml:space="preserve">Quelle: </w:t>
      </w:r>
      <w:r>
        <w:t>https://mcp.opencaselaw.ch/entscheid/zh_sozialversicherungsgericht_ZL.2020.00047</w:t>
      </w:r>
    </w:p>
    <w:p>
      <w:r>
        <w:t>FR: ZH_SOZIALVERSICHERUNGSGERICHT ZL.2020.00047 du 3 juillet 2020</w:t>
      </w:r>
    </w:p>
    <w:p>
      <w:r>
        <w:t>IT: ZH_SOZIALVERSICHERUNGSGERICHT ZL.2020.00047 del 3 luglio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9. Juni 2020</w:t>
      </w:r>
    </w:p>
    <w:p>
      <w:r>
        <w:t>beantrag t e die Beschwerdegegnerin, dass die Beschwerde aufgrund der Aufhebung des Einspracheentscheides</w:t>
      </w:r>
    </w:p>
    <w:p>
      <w:r>
        <w:t>vom 27.</w:t>
      </w:r>
    </w:p>
    <w:p>
      <w:r>
        <w:t>April 2020 sowie der rückwirkenden Berechnung der Zusatzleistungen ab 1.</w:t>
      </w:r>
    </w:p>
    <w:p>
      <w:r>
        <w:t>Oktober 2014 ohne Anrechnung des Mindesterwerbseinkommens als gegen standslos abzuschreiben sei. Der Sachverhalt sei aufgrund von Unwissen falsch beurteilt worden. Im Sinne von Art. 25 ELV würden die Verfügungen vom 2 1. und 3 0. Januar 2020 sowie der Einspracheentscheid vom 2 7. April 2020 in Revision gezogen beziehungsweise der Aspekt der Anrechnung eines Mindester werbseinkommens aufgehoben ( Urk.</w:t>
      </w:r>
    </w:p>
    <w:p>
      <w:r>
        <w:rPr>
          <w:b/>
        </w:rPr>
        <w:t>E. 7</w:t>
      </w:r>
    </w:p>
    <w:p>
      <w:r>
        <w:t>- Stadt Y.___ - Bundesamt für Sozialversicherungen - Sicherheitsdirektion Kanton Zürich 5 .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Die Gerichtsschreiberin Schucan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