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ZL.2019.00044 vom 4. Mai 2020</w:t>
      </w:r>
    </w:p>
    <w:p>
      <w:r>
        <w:t>ZH Sozialversicherungsgericht, 2020-05-04, DE</w:t>
      </w:r>
    </w:p>
    <w:p>
      <w:r>
        <w:rPr>
          <w:b/>
        </w:rPr>
        <w:t xml:space="preserve">Quelle: </w:t>
      </w:r>
      <w:r>
        <w:t>https://mcp.opencaselaw.ch/entscheid/zh_sozialversicherungsgericht_ZL.2019.00044</w:t>
      </w:r>
    </w:p>
    <w:p>
      <w:r>
        <w:t>FR: ZH_SOZIALVERSICHERUNGSGERICHT ZL.2019.00044 du 4 mai 2020</w:t>
      </w:r>
    </w:p>
    <w:p>
      <w:r>
        <w:t>IT: ZH_SOZIALVERSICHERUNGSGERICHT ZL.2019.00044 del 4 maggio 2020</w:t>
      </w:r>
    </w:p>
    <w:p>
      <w:pPr>
        <w:pStyle w:val="Heading2"/>
      </w:pPr>
      <w:r>
        <w:t>Erwägungen</w:t>
      </w:r>
    </w:p>
    <w:p>
      <w:r>
        <w:rPr>
          <w:b/>
        </w:rPr>
        <w:t>E. 1</w:t>
      </w:r>
    </w:p>
    <w:p>
      <w:r>
        <w:t>X.___ , geboren 1964, bezieht seit 2011 eine Rente der Invali denversicherung ( Urk. 6/50 S. 16 Ziff. 1). Mit Verfügung vom 31. Dezember 2015 sprach ihr die Gemeinde Y.___ ab Januar 2016 monatliche Zusatz leistungen (bundesrechtliche Ergänzungsleistungen und kantonal rechtliche Bei hilfen) von Fr. 681. zu (Urk. 6/61 /1-9 ). Mit Verfügung vom 20. Dezember 2016 setzte die Gemeinde die Zusatzleistungen (bundesrechtliche Ergänzungsleistun gen, kantonalrechtliche Beihilfen und Gemeindezuschüsse) ab Januar 2017 auf monatlich Fr. 820. (Urk. 6/74) fest. Mit Verfügung vom 21. Dezember 2017 stellte sie die Ausrichtung von Zusatzleistungen auf Januar 2018 ein (Urk. 6/102 /1-5) . Gleichzeitig teilte sie der Bezügerin mit, dass bereits in den Jah ren 2016 und 2017 kein Anspruch auf Leistungen bestanden habe, die neuen Berechnungen würden zu einem späteren Zeitpunkt von der Sozialversicherungs anstalt des Kantons Zürich ( SVA; als neue Durchführungsstelle) vorgenommen und die daraus resultierende Rückforderung von dieser verfügt (Urk. 6/102/6).</w:t>
      </w:r>
    </w:p>
    <w:p>
      <w:r>
        <w:t>Dagegen erhob die Bezügerin am 30. Januar 2018 Einsprache (Urk. 6/108), wel che die SVA teilweise guthiess und der Bezügerin für das Jahr 2016 Zusatzleis tungen von Fr. 394. (Prämienpauschale Krankenversicherung) und ab Januar 2017 keine Zusatzleistungen mehr zusprach sowie von der Bezügerin von Januar 2016 bis Dezember 2017 zu viel bezogene Zusatzleistungen im Betrag von Fr. 8'388. zurückforderte (Urk. 6/145-146 = Urk. 2 und Urk. 3/1).</w:t>
      </w:r>
    </w:p>
    <w:p>
      <w:r>
        <w:rPr>
          <w:b/>
        </w:rPr>
        <w:t>E. 2</w:t>
      </w:r>
    </w:p>
    <w:p>
      <w:r>
        <w:t>.1</w:t>
      </w:r>
    </w:p>
    <w:p>
      <w:r>
        <w:t>Die jährliche Ergänzungsleistung (EL; Art.</w:t>
      </w:r>
    </w:p>
    <w:p>
      <w:r>
        <w:rPr>
          <w:b/>
        </w:rPr>
        <w:t>E. 3</w:t>
      </w:r>
    </w:p>
    <w:p>
      <w:r>
        <w:t>.2</w:t>
      </w:r>
    </w:p>
    <w:p>
      <w:r>
        <w:t>Dagegen wandte die Beschwerdeführerin ein (Urk. 1), es sei der effektiv erzielte Mietzins von Fr. 800. pro Monat zu berücksichtigen. Es handle sich um eine sehr alte, nicht attraktive Wohnung. Es sei lange ein Mieter gesucht worden und letztendlich ein Mieter gefunden worden, der nicht bereit sei, mehr als Fr. 800. -- pro Monat zu bezahlen. Die Beschwerdegegnerin lege nicht dar, weshalb der Mietzins offensichtlich unter einem ortsüblichen liegen solle (S. 4 Ziff. 8-10). Auch der von der Beschwerdegegnerin angenommene Verkehrswert sei zu hoch angesetzt. Die Schätzung, auf welche sie sich stütze , datiere vo m Mai 2004 und sei nicht mehr aktuell. Es sei der Steuerwert von Fr. 125'222.</w:t>
      </w:r>
    </w:p>
    <w:p>
      <w:r>
        <w:t>(1/3-Anteil) zur Bestimmung des Vermögens heranzuziehen (S. 5 Ziff. 14).</w:t>
      </w:r>
    </w:p>
    <w:p>
      <w:r>
        <w:rPr>
          <w:b/>
        </w:rPr>
        <w:t>E. 4</w:t>
      </w:r>
    </w:p>
    <w:p>
      <w:r>
        <w:t>.4</w:t>
      </w:r>
    </w:p>
    <w:p>
      <w:r>
        <w:t>Laut Mietvertrag vom 26. Januar 2017 ist die Liegenschaft zu einem monatlichen Z ins von Fr. 800.</w:t>
      </w:r>
    </w:p>
    <w:p>
      <w:r>
        <w:t>v ermietet, wobei vermerkt worden ist, dass es sich hierbei um einen Spezialpreis handle (Urk. 6/90 S. 2 oben). Zuvor war die Liegenschaft zu einem monatlichen Zins von Fr. 1'250. vermietet (Urk. 6/17 S. 2 oben). Unter diesen Umständen ist davon auszugehen, dass der aktuelle Mietzins unter dem ortsüblichen liegt. Aus diesem Grund ist nicht vom effektiv erzielten Mietzins, sondern vom ortsüblichen auszugehen (vgl. vorstehende E. 2 .3 ). Der ortsübliche Mietzins entspricht nicht dem Eigenmietwert, weshalb die Beschwerdegegnerin den ortsüblichen Mietzins zu bestimmen hat. Dazu hat sie die notwendigen Er kundigungen einzuholen.</w:t>
      </w:r>
    </w:p>
    <w:p>
      <w:r>
        <w:rPr>
          <w:b/>
        </w:rPr>
        <w:t>E. 5</w:t>
      </w:r>
    </w:p>
    <w:p>
      <w:r>
        <w:t>.</w:t>
      </w:r>
    </w:p>
    <w:p>
      <w:r>
        <w:t>Nach dem Dargelegten ist der angefochtene Entscheid in Bezug auf die Zusatz leistungen für das Jahr 2018 aufzuheben und die Sache an die Beschwerdegeg nerin zurückzuweisen, damit sie die Höhe des Liegenschaf t svermögens sowie die Mietzinserträge im Sinne der Erwägungen neu festsetze und hernach über den Anspruch der Beschwerdeführerin auf Zusatzleistungen neu verfüge. Im Übrigen ist auf die Beschwerde nicht einzutreten.</w:t>
      </w:r>
    </w:p>
    <w:p>
      <w:r>
        <w:rPr>
          <w:b/>
        </w:rPr>
        <w:t>E. 6</w:t>
      </w:r>
    </w:p>
    <w:p>
      <w:r>
        <w:t>.</w:t>
      </w:r>
    </w:p>
    <w:p>
      <w:r>
        <w:t>Dem Ausgang des Verfahrens entsprechend hat d ie anwaltlich vertretene Be schwerdeführer in Anspruch auf eine Parteientschädigung. Diese wird ohne Rück sicht auf den Streitwert nach der Bedeutung der Streitsache, der Schwierig - keit des Prozesses und dem Mass des Obsiegens bemessen ( § 34 Abs. 3 GSVGer ). Unter Berücksichtigung eines gerichtsüblichen Ansatzes von Fr.</w:t>
      </w:r>
    </w:p>
    <w:p>
      <w:r>
        <w:t>220. pro Stunde zu züglich Mehrwertsteuer erscheint eine Parteientschädigung von Fr. 1’ 500. (inklusive Barauslagen und Mehrwertsteuer) als angemessen. D as Gericht erkennt: 1.</w:t>
      </w:r>
    </w:p>
    <w:p>
      <w:r>
        <w:t>Die Beschwerde wird in dem Sinne gutgeheissen, dass der Einspracheentscheid vom 15. Mai 2019 aufgehoben und die Sache an die Beschwerdegegnerin zurückgewiesen wird, damit sie den Anspruch der Beschwerdeführerin auf Zusatzleistungen für das Jahr 2018 im Sinne der Erwägungen neu berechne.</w:t>
      </w:r>
    </w:p>
    <w:p>
      <w:r>
        <w:t>Im Übrigen wird auf die Beschwerde nicht eingetreten und die Sache nach Rechtskraft dieses Entscheids zur Durchführung des Einspracheverfahrens an die Beschwerdegeg nerin überwiesen. 2.</w:t>
      </w:r>
    </w:p>
    <w:p>
      <w:r>
        <w:t>Das Verfahren ist kostenlos. 3.</w:t>
      </w:r>
    </w:p>
    <w:p>
      <w:r>
        <w:t>Die Beschwerdegegnerin wird verpflichtet, der Beschwerdeführerin eine Prozessent schädigung von Fr. 1’500 .-- (inkl. Barauslagen und MWSt ) zu bezahlen. 4.</w:t>
      </w:r>
    </w:p>
    <w:p>
      <w:r>
        <w:t>Zustellung gegen Empfangsschein an: - Rechtsanwalt Silvio Riesen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