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ZL.2017.00099 vom 7. Juni 2019</w:t>
      </w:r>
    </w:p>
    <w:p>
      <w:r>
        <w:t>ZH Sozialversicherungsgericht, 2019-06-07, DE</w:t>
      </w:r>
    </w:p>
    <w:p>
      <w:r>
        <w:rPr>
          <w:b/>
        </w:rPr>
        <w:t xml:space="preserve">Quelle: </w:t>
      </w:r>
      <w:r>
        <w:t>https://mcp.opencaselaw.ch/entscheid/zh_sozialversicherungsgericht_ZL.2017.00099</w:t>
      </w:r>
    </w:p>
    <w:p>
      <w:r>
        <w:t>FR: ZH_SOZIALVERSICHERUNGSGERICHT ZL.2017.00099 du 7 juin 2019</w:t>
      </w:r>
    </w:p>
    <w:p>
      <w:r>
        <w:t>IT: ZH_SOZIALVERSICHERUNGSGERICHT ZL.2017.00099 del 7 giugno 2019</w:t>
      </w:r>
    </w:p>
    <w:p>
      <w:pPr>
        <w:pStyle w:val="Heading2"/>
      </w:pPr>
      <w:r>
        <w:t>Erwägungen</w:t>
      </w:r>
    </w:p>
    <w:p>
      <w:r>
        <w:rPr>
          <w:b/>
        </w:rPr>
        <w:t>E. 1</w:t>
      </w:r>
    </w:p>
    <w:p>
      <w:r>
        <w:t>4. März 2017 setzte die Durch führungsstelle den monatlichen Anspruch auf Zusatzleistungen ab Januar 2017 neu auf Fr. 1'903.-- fest und forderte für die Zeit von Mai 2013 bis März 2017 zuviel bezogene Leistungen in der Höhe von Fr. 36'158.-- zurück (Urk. 14/20-21). Am 1 0. April 2017 erhoben + Y.___ und X.___ Einsprac he und stellten den Antrag, der Entscheid der Durchführungsstelle sei bezüglich und im Umfang der Rückerstattung in der Höhe von Fr. 36'158.-- teilweise aufzuheben (Urk. 14/18). Mit Einspracheentscheid</w:t>
      </w:r>
    </w:p>
    <w:p>
      <w:r>
        <w:t>vom 6. Oktober 2017 hiess die Durchfüh rungsstelle die Einsprache unter Verweis ung auf zwei gleichzeitig erlassene Ver fügungen teilweise gut. Den laufenden monatlichen Anspruch ab Januar 2017 setzte sie auf</w:t>
      </w:r>
    </w:p>
    <w:p>
      <w:r>
        <w:t>Fr. 1'937 .-- fest und reduzierte die Rückforderung auf Fr. 34'403.-- (Urk. 2 = Urk. 14/13, Urk. 3/4-5 = Urk. 14/11/2-3).</w:t>
      </w:r>
    </w:p>
    <w:p>
      <w:r>
        <w:rPr>
          <w:b/>
        </w:rPr>
        <w:t>E. 1.1</w:t>
      </w:r>
    </w:p>
    <w:p>
      <w:r>
        <w:t>+ Y.___ , geboren 1953 und verstorben am 3. April 2018 , erhielt ab Februar 2012 eine halbe Invalidenrente ausgerichtet (Urk. 14/ 45/30). Am 10. Juni 2013 stellten er und seine Ehefrau X.___ , geboren 1954, ein Gesuch um Ausrichtung von Zusatzleistungen zur Invalidenrente von + Y.___ und legten dem Gesuch verschiedene Unterlagen zur Darlegung ihrer finanziellen Verhältnisse bei (Urk. 14/45/</w:t>
      </w:r>
    </w:p>
    <w:p>
      <w:r>
        <w:rPr>
          <w:b/>
        </w:rPr>
        <w:t>E. 1.2</w:t>
      </w:r>
    </w:p>
    <w:p>
      <w:r>
        <w:t>Am 2 6. Januar 2015 forderte die Durchführungsstelle das Ehepaar auf, zwecks Neuberechnung der Zusatzleistungen verschiedene Unterlagen ein zureichen ( Urk. 14/28/44). Gestützt auf die von + Y.___ und X.___ eingereichten Unterlagen zu ihren aktuellen finanziellen Verhältnissen (Urk. 14/28/2 ff.) stellte die Durchführungsstelle mit Verfügung vom 2 4. April 2015 fest, ab April 2014 betrage der laufende monatliche Anspruch Fr. 2'644.-- (Urk. 14/27). Ab Januar 2016 errechnete die Durchführungsstelle sodann einen monatlichen Anspruch von Fr. 2'669.-- (Urk. 14/26) und ab Januar 2017 einen solchen von Fr. 2'701.-- (Urk. 14/23).</w:t>
      </w:r>
    </w:p>
    <w:p>
      <w:r>
        <w:rPr>
          <w:b/>
        </w:rPr>
        <w:t>E. 1.3</w:t>
      </w:r>
    </w:p>
    <w:p>
      <w:r>
        <w:t>Im März 2017 leitete die Durchführungsstelle eine periodische Überprüfung des Zusatzleistungsanspruchs ein (Urk. 14/22/39). + Y.___ und X.___ reichten daraufhin wiederum Unterlagen zu ihren finanziellen Verhältnissen ein (Urk. 14/22/2 ff.). Mit zwei Verfügung en vom</w:t>
      </w:r>
    </w:p>
    <w:p>
      <w:r>
        <w:rPr>
          <w:b/>
        </w:rPr>
        <w:t>E. 2</w:t>
      </w:r>
    </w:p>
    <w:p>
      <w:r>
        <w:t>ATSG</w:t>
      </w:r>
    </w:p>
    <w:p>
      <w:r>
        <w:t>mit dem Ab lauf eines Jahres, nachdem die Versicherungseinrichtung davon Kenntnis erhalten hat, spätestens aber mit dem Ablauf von fünf Jahren nach der Entrich tung der einzelnen Leistung. Wird der Rückerstattungsanspruch aus einer straf baren Handlung hergeleitet, für welche das Strafrecht eine längere Verjährungs frist vorsieht, so ist diese Frist massgebend.</w:t>
      </w:r>
    </w:p>
    <w:p>
      <w:r>
        <w:t>Bei den genannten Fristen handelt es sich um Verwirkungsfristen. Unter der Wendung "nachdem die Versicherungs einrichtung davon Kenntnis erhalten hat", ist der Zeitpunkt zu verstehen, in dem die Verwaltung bei Beachtung der ihr zumutbaren Aufmerksamkeit hätte erken nen müssen, dass die Voraussetzungen für eine Rückerstattung bestehen, oder mit andern Worten, in welchem sich der Versicherungsträger hätte Rechenschaft geben müssen über Grundsatz, Ausmass und Adressat des Rückforderungsan spru chs ( BGE 140 V 121 E. 2.1 , Urteil des Bundesgerichts 9C_559/2017 vom 1 7. Oktober 2017 , E. 2).</w:t>
      </w:r>
    </w:p>
    <w:p>
      <w:r>
        <w:t>Geht der unrechtmässige Leistungsbezug auf einen Fehler des Versicherungs trägers zurück, beginnt die einjährige Frist nicht mit der Leistungsausrichtung zu laufen. Massgebend ist vielmehr der (spätere) Zeitpunkt, in welchem der Ver sicherungsträger anlässli ch einer Ko ntrolle zumutbarerweise den Fehler hätte ent decken können. Im Bereich der Ergänzungsleistungen ist im Besonderen zu beachten, dass eine unrechtmässige Leistungsausrichtung spätesten s im Rahmen der periodischen, mindestens alle vier Jahre vorzunehmenden Überprüfung der wirtschaftlichen Verhältnisse im Sinne von Art. 30 der Verordnung über Ergän zungsleistungen zur Alters-, Hinterlassenen- und Invalidenversicherung (ELV)</w:t>
      </w:r>
    </w:p>
    <w:p>
      <w:r>
        <w:t>als erkennbar gilt. Die relative einjährige Verwirkungsfrist beginnt demnach zu laufen, sobald der Rückforderungsanspruch als solcher sowie deren Betrag fest steht ( Kieser , ATSG -Kommentar, 3. A., Zürich 2015, Art. 25 Rz 58 mit weiteren Hinweisen).</w:t>
      </w:r>
    </w:p>
    <w:p>
      <w:r>
        <w:rPr>
          <w:b/>
        </w:rPr>
        <w:t>E. 3</w:t>
      </w:r>
    </w:p>
    <w:p>
      <w:r>
        <w:t>f .). Dieser Auffassung ist beizupflichten. Die beiden Verfü gungen, das heisst deren Inhalt, sind gemäss Dispositiv Ziff. II explizit integrie render Bestandteil des Einspracheentscheides (Urk. 2 S. 4). Eine eigenständige Anfechtung derselben ist damit nicht erforderlich . Deren Regelungsgegenstand ist unmittelbar Teil des mit dem angefochtenen Einspracheentscheid bestimmten Rechtsverhältnisses.</w:t>
      </w:r>
    </w:p>
    <w:p>
      <w:r>
        <w:rPr>
          <w:b/>
        </w:rPr>
        <w:t>E. 4</w:t>
      </w:r>
    </w:p>
    <w:p>
      <w:r>
        <w:t>.3</w:t>
      </w:r>
    </w:p>
    <w:p>
      <w:r>
        <w:t>Die Beschwerdeführerin macht geltend, der Rückforderungsanspruch im Zusam menhang mit der Anrechnung des Freizügigkeitsguthabens sei verwirkt. Die Ein kommens- und Vermögenslage sei anlässlich des Gesuchs im Juni 2013 vollstän dig deklariert worden, namentlich auch das Freizügigkeitsguthaben. Bei der ersten periodischen Überprüfung, die mi t Verfügung vom 2 4. April 2015 abge schlossen worden sei, seien erneut umfassend die finanziellen Verhältnisse dar gelegt worden. Dies habe die Beschwerdegegnerin im Übrigen auch anerkannt. Die einjährige Verwirkungsfrist habe spätestens mit dem Erlass der Verfügung vom 2 4. April 2015, der eine Überprüfung des Leistungsanspruchs vorausgegan gen sei, zu laufen begonnen. Mit dem zumutbaren Einsatz wäre es der Beschwer degegnerin möglich gewesen, die bis dahin unvollständige Berücksichtigung des Freizügigkeitsguthabens zu korrigieren. Effektiv sei dies erst mit der Verfügung vom 1 4. März 2017 gesc hehen. Zu diesem Zeitpunkt aber sei der Anspruch auf Rückforderung bereits verwirkt gewesen (Urk. 1 S. 6 f.).</w:t>
      </w:r>
    </w:p>
    <w:p>
      <w:r>
        <w:rPr>
          <w:b/>
        </w:rPr>
        <w:t>E. 5</w:t>
      </w:r>
    </w:p>
    <w:p>
      <w:r>
        <w:t>.2</w:t>
      </w:r>
    </w:p>
    <w:p>
      <w:r>
        <w:t>D ie Beschwerdegegnerin erkannt e den Fehler nicht, stützte sich auf die Angaben im Gesuch (vgl. Urk. 3/8 S. 2) und errechnete</w:t>
      </w:r>
    </w:p>
    <w:p>
      <w:r>
        <w:t>demgemäss</w:t>
      </w:r>
    </w:p>
    <w:p>
      <w:r>
        <w:t>ein</w:t>
      </w:r>
    </w:p>
    <w:p>
      <w:r>
        <w:t>zu geringes Rein vermögen . In der der Leistungsverfügung vom 2 6. Juni 2013 beigefügten Berech nung der Zusatzleistung ab dem Mai 2013 (vgl. Urk. 14/44 S. 3 ) ist insgesamt nur ein Reinv ermögen von Fr. 73'385.-- aufgeführt. Auch im Rahmen der Neuberech nung per April 2015 ging die Beschwerdegegnerin von einem Reinvermögen ohne das Freizügigkeitsguthaben von + Y.___ aus (Urk . 14/27 S. 4 ff.). Zuv or hatte das Ehepaar allerdings einen aktuellen Beleg zum Frei zügigkeitsguthaben von + Y.___ bei der Raiffeisen Freizügigkeitsstif tung eingereicht. Dieses hatte per 3 1. Dezember 2014 einen Wert von Fr. 115'546.45 aufgewiesen (Urk. 14/28/5).</w:t>
      </w:r>
    </w:p>
    <w:p>
      <w:r>
        <w:t>Auch den Stand des Guthabens per Ende Dezember 2016 teilten + Y.___ und X.___ der Beschwerdegegne rin aufforderungsgemäss mit ( Fr. 116'289.05; v gl. Urk. 14/22/6, Urk. 14/22/38 f.). Beim Erlass der Verfügung vom 1 4. März 2017 korrigierte die Beschwerdegegne rin indessen den Fehler rückwirkend per Anspruchsbeginn und berechnete das Reinvermögen nunmehr unter Einschluss des Freizügigkeitsguthabens (Urk. 14/2 1 S. 4 ff., Urk. 14/22/1 ). Dies hatte die strittige Rückforderung zur Folge.</w:t>
      </w:r>
    </w:p>
    <w:p>
      <w:r>
        <w:rPr>
          <w:b/>
        </w:rPr>
        <w:t>E. 6</w:t>
      </w:r>
    </w:p>
    <w:p>
      <w:r>
        <w:t>.4</w:t>
      </w:r>
    </w:p>
    <w:p>
      <w:r>
        <w:t>Eine Rückforderung im Zusammenhang mit der anfänglich fehlerhaften und der später rückwirkend korrigierten Anrechnung des Freizügigkeitsguthabens von + Y.___ ist nach dem Gesagten nicht mehr möglich. D ie Beschwerde ist begründet. D er am 1 4. März 2017 verfügten und im Einspracheverfahren teil weise angepasste n</w:t>
      </w:r>
    </w:p>
    <w:p>
      <w:r>
        <w:t>Rückforderung liegen allerdings nicht nur der geprüfte Aspekt , sondern weitere, im Besch werdeverfahren nicht bemängelte Betreffnisse zur Grunde</w:t>
      </w:r>
    </w:p>
    <w:p>
      <w:r>
        <w:t>( Erbschaft und BVG-Rente von + Y.___ , AHV -Beiträge X.___ ; vgl. Urk. 14/22/1) . Die Beschwerdegegnerin hat diese im Quantitativ aber nicht genauer dargelegt. Nicht aufgeführt ist auch, in welchem Umfang bei der Berechnung der Rückforderung voraussichtlich fällige Steuern auf Kapital zahlungen berück sichtigt wurden (vgl. Urk. 2 S. 3 f.). Es rechtfertigt sich somit, die Sache an die Beschwerdegegnerin zurückzuweisen ( § 26 des Gesetzes über das Sozialversicherungsgericht; GSVGer ) , damit diese im Sinne der Erwägungen unter Ausscheidung der Betreffnisse im Zusammenhang mit dem Freizügigkeits guthaben von + Y.___ bei der Raiffeisen Freizügigkeitsstiftung</w:t>
      </w:r>
    </w:p>
    <w:p>
      <w:r>
        <w:t>über die Rückforderung erneut entscheide . In diesem Sinne ist die Beschwerde gutzu heissen.</w:t>
      </w:r>
    </w:p>
    <w:p>
      <w:r>
        <w:rPr>
          <w:b/>
        </w:rPr>
        <w:t>E. 7</w:t>
      </w:r>
    </w:p>
    <w:p>
      <w:r>
        <w:t>.</w:t>
      </w:r>
    </w:p>
    <w:p>
      <w:r>
        <w:t>D ie anwaltlich vertretene Beschwerdeführerin</w:t>
      </w:r>
    </w:p>
    <w:p>
      <w:r>
        <w:t>hat gestützt auf Art. 61 lit . g ATSG Anspruch auf eine Prozessentschädigung. Diese ist gemäss § 34 Abs. 1 und 3 GSVGer</w:t>
      </w:r>
    </w:p>
    <w:p>
      <w:r>
        <w:t>unter Berücksichtigung der Bedeutung der Streitsache und der Schwie rigkeit des Prozesses festzusetzen. Unter Berücksichtigung der genannten Aspekte erweist sich e ine Entschädigung von Fr. 2’0 00 .-- als angemessen (inkl. Mehrwert steuer und Barauslagen). Das Gericht erkennt: 1.</w:t>
      </w:r>
    </w:p>
    <w:p>
      <w:r>
        <w:t>In Gutheissung der Beschwerde wird der Einspracheentscheid der Stadt Winterthur, Zusatzleistungen zur AHV /IV, vom 6. Oktober 2017 aufgehoben und die Sache an die Be schwerdegegnerin zurückgewiesen , damit diese im Sinne der Erwägungen unter Aus scheidung der Betreffnisse im Zusammenhang mit dem Freizügigkeitsguthaben von + Y.___ bei der Rai ffeisen Freizügigkeitsstiftung über die Rückforderung</w:t>
      </w:r>
    </w:p>
    <w:p>
      <w:r>
        <w:t>neu entscheide . 2.</w:t>
      </w:r>
    </w:p>
    <w:p>
      <w:r>
        <w:t>Das Verfahren ist kostenlos. 3.</w:t>
      </w:r>
    </w:p>
    <w:p>
      <w:r>
        <w:t>Die Beschwerdegegnerin wird verpflichtet, der Beschwerdeführerin eine Prozessent schädigung von Fr. 2’0 00 .-- (inkl. Barauslagen und MWSt ) zu bezahlen. 4.</w:t>
      </w:r>
    </w:p>
    <w:p>
      <w:r>
        <w:t>Zustellung gegen Empfangsschein an: - Rechtsanwalt Dr. Christian Rioult - Stadt Winterthur - Bundesamt für Sozialversicherungen - Sicherheitsdirektion Kanton Zürich 5.</w:t>
      </w:r>
    </w:p>
    <w:p>
      <w:r>
        <w:t>Gegen diesen Entscheid kann innert 30 Tagen seit der Zustellung beim Bundesgericht Beschwerde eingereicht werden ( Art. 82 ff. in Verbindung mit Art. 90 ff. des Bundesge setzes über das Bundesgericht, BGG ). Die Frist steht während folgender Zeiten still: vom siebten Tag vor Ostern bis und mit dem siebten Tag nach Ostern, vom 1 5. Juli bis und mit 1 5. August sowie vom 1 8. Dezember bis und mit dem 2. Januar ( Art. 46 BGG ).</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 Sozialversicherungsgericht des Kantons Zürich Die VorsitzendeDer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