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ZL.2017.00074 vom 31. Oktober 2017</w:t>
      </w:r>
    </w:p>
    <w:p>
      <w:r>
        <w:t>ZH Sozialversicherungsgericht, 2017-10-31, DE</w:t>
      </w:r>
    </w:p>
    <w:p>
      <w:r>
        <w:rPr>
          <w:b/>
        </w:rPr>
        <w:t xml:space="preserve">Quelle: </w:t>
      </w:r>
      <w:r>
        <w:t>https://mcp.opencaselaw.ch/entscheid/zh_sozialversicherungsgericht_ZL.2017.00074</w:t>
      </w:r>
    </w:p>
    <w:p>
      <w:r>
        <w:t>FR: ZH_SOZIALVERSICHERUNGSGERICHT ZL.2017.00074 du 31 octobre 2017</w:t>
      </w:r>
    </w:p>
    <w:p>
      <w:r>
        <w:t>IT: ZH_SOZIALVERSICHERUNGSGERICHT ZL.2017.00074 del 31 ottobre 2017</w:t>
      </w:r>
    </w:p>
    <w:p>
      <w:pPr>
        <w:pStyle w:val="Heading2"/>
      </w:pPr>
      <w:r>
        <w:t>Erwägungen</w:t>
      </w:r>
    </w:p>
    <w:p>
      <w:r>
        <w:rPr>
          <w:b/>
        </w:rPr>
        <w:t>E. 2</w:t>
      </w:r>
    </w:p>
    <w:p>
      <w:r>
        <w:t>Gegen diesen Einspracheentscheid erhob X.___ mit Eingaben vom 11. August</w:t>
      </w:r>
    </w:p>
    <w:p>
      <w:r>
        <w:t>2017 Beschwerde und beantragte die Erhöhung der Ergänzungs leis tungen auf ihr monatliches Existenzminimum von Fr. 5‘100.--. Des Weiteren beantragte sie die Abänderung ihres Scheidungsurteils respektive eine Revision des Scheidungsverfahrens (Urk. 1/ 1-2). Die Durchführungsstelle schloss in der Be schwerdeantwort vom 23. August 2017 auf Abweisung der Beschwerde (Urk . 6). Mit Eingabe vom 7. September 2017 äusserte sich X.___ erneut zur Sache (Urk. 9). Davon wurde der Durchführungsstelle gleichentags Kenntnis gegeben (Urk. 11).</w:t>
      </w:r>
    </w:p>
    <w:p>
      <w:r>
        <w:t>Auf die Ausführungen der Parteien und die Akten wird, soweit erforderlich, in den nachfolgenden Erwägungen eingegangen. Das Gericht zieht in Erwägung: 1.</w:t>
      </w:r>
    </w:p>
    <w:p>
      <w:r>
        <w:t>Nach Massgabe von</w:t>
      </w:r>
    </w:p>
    <w:p>
      <w:r>
        <w:t>Art. 9 Abs. 1 des Bundesgesetzes über Ergänzungs lei s tung en zur Alters-, Hinterlassenen- und Invalidenversicherung (ELG) entspricht d ie jährliche Ergänzungsleistung dem Betrag, um den die anerkannten Ausga ben die anrechenbaren Einnahmen übersteigen. Was als anerkannte Ausgaben und anrechenbare Einnahmen zu berücksichtigen ist , legt das Gesetz in den Art . 10 und 11 ELG fest. Die jeweilige Aufzählung in den genannten Bestimmungen ist abschliessend, namentlich der gesetzliche Höchstbetrag für die jährliche Miete und die jährliche Pauschale für die Krankenpflegeversicherung (vgl. Art. 10 Abs. 1 lit. a und Abs.</w:t>
      </w:r>
    </w:p>
    <w:p>
      <w:r>
        <w:rPr>
          <w:b/>
        </w:rPr>
        <w:t>E. 3</w:t>
      </w:r>
    </w:p>
    <w:p>
      <w:r>
        <w:t>Zustellung gegen Empfangsschein an: - X.___ - Gemeinde O.___ - Bundesamt für Sozialversicherungen - Sicherheitsdirektion Kanton Zürich</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