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ZL.2017.00053 vom 16. Juli 2018</w:t>
      </w:r>
    </w:p>
    <w:p>
      <w:r>
        <w:t>ZH Sozialversicherungsgericht, 2018-07-16, DE</w:t>
      </w:r>
    </w:p>
    <w:p>
      <w:r>
        <w:rPr>
          <w:b/>
        </w:rPr>
        <w:t xml:space="preserve">Quelle: </w:t>
      </w:r>
      <w:r>
        <w:t>https://mcp.opencaselaw.ch/entscheid/zh_sozialversicherungsgericht_ZL.2017.00053</w:t>
      </w:r>
    </w:p>
    <w:p>
      <w:r>
        <w:t>FR: ZH_SOZIALVERSICHERUNGSGERICHT ZL.2017.00053 du 16 juillet 2018</w:t>
      </w:r>
    </w:p>
    <w:p>
      <w:r>
        <w:t>IT: ZH_SOZIALVERSICHERUNGSGERICHT ZL.2017.00053 del 16 luglio 2018</w:t>
      </w:r>
    </w:p>
    <w:p>
      <w:pPr>
        <w:pStyle w:val="Heading2"/>
      </w:pPr>
      <w:r>
        <w:t>Erwägungen</w:t>
      </w:r>
    </w:p>
    <w:p>
      <w:r>
        <w:rPr>
          <w:b/>
        </w:rPr>
        <w:t>E. 1.1</w:t>
      </w:r>
    </w:p>
    <w:p>
      <w:r>
        <w:t>Nach Art. 20 Abs. 1 des Bundesgesetzes über den Allgemeinen Teil des Sozial versicherungsrechts (ATSG) können Geldleistungen ganz oder teilweise einem ge eigneten Dritten oder einer Behörde ausbezahlt werden, der oder die der berech tigten Person gegenüber gesetzlich oder sittlich unterstützungspflichtig ist oder diese dauernd fürsorgerisch betreut, sofern die berechtigte Person die Geldleis tungen nicht für den eigenen Unterhalt oder für den Unterhalt von Personen, für die sie zu sorgen hat, verwendet oder dazu nachweisbar nicht im Stande ist ( lit . a) und die berechtigte Person oder Personen, für die sie zu sorgen hat, aus einem Grund nach lit . a auf die Hilfe der öffentlichen oder privaten Fürsorge angewiesen sind ( lit . b). Nach dem Wortlaut von Art. 20 Abs. 1 lit . a ATSG kommen daher nur Personen oder Behörden in Frage, die gegenüber der rentenberechtigten Per son unterstützungspflichtig sind oder diese dauernd betreuen.</w:t>
      </w:r>
    </w:p>
    <w:p>
      <w:r>
        <w:rPr>
          <w:b/>
        </w:rPr>
        <w:t>E. 1.2</w:t>
      </w:r>
    </w:p>
    <w:p>
      <w:r>
        <w:t>Gemäss Art. 22 Abs. 4 der Verordnung über Ergänzungsleistungen zur Alters-, Hinterlassenen- und Invalidenversicherung (ELV) kann eine r private n oder öf fentliche n Fürsorgestelle , welche einer Person im Hinblick auf Ergänzungsleis tungen Vorschussleistungen für den Lebensunterhalt während einer Zeitspanne gewährt hat , dieser Vorschuss bei einer rückwirkenden Nachzahlung von Ergän zungsleistungen direkt vergütet w erden.</w:t>
      </w:r>
    </w:p>
    <w:p>
      <w:r>
        <w:rPr>
          <w:b/>
        </w:rPr>
        <w:t>E. 1.3</w:t>
      </w:r>
    </w:p>
    <w:p>
      <w:r>
        <w:t>Unrechtmässig bezogene Leistungen sind gemäss Art. 25 Abs. 1 des Bundesge set zes über den Allgemeinen Teil des Sozialversicherungsrechts (ATSG) zu rück zuerstatten (Satz 1); wer Leistungen in gutem Glauben empfan gen hat, muss sie nicht zurückerstatten, wenn eine grosse Härte vorliegt (Satz 2 in Ver bindung mit Art.</w:t>
      </w:r>
    </w:p>
    <w:p>
      <w:r>
        <w:rPr>
          <w:b/>
        </w:rPr>
        <w:t>E. 1.4</w:t>
      </w:r>
    </w:p>
    <w:p>
      <w:r>
        <w:t>Rückerstattungspflichtig sind Dritte oder Behörden, mit Ausnahme des Vor mun des oder der Vormundin , denen Geldleistungen zur Gewährleistung zweck gemäs ser Verwendung nach Artikel 20 ATSG oder den Bestimmungen der Ein zelgesetze ausbezahl t wurden (Art. 2 Abs. 1 lit . b ATSV).</w:t>
      </w:r>
    </w:p>
    <w:p>
      <w:r>
        <w:rPr>
          <w:b/>
        </w:rPr>
        <w:t>E. 1.5</w:t>
      </w:r>
    </w:p>
    <w:p>
      <w:r>
        <w:t>Art. 25 Abs. 1 ATSG knüpft die Rückerstattungspflicht an einen unrechtmässi gen Leistungsbezug an, wobei sich die Unrechtmässigkeit einer bereits bezoge nen Leistung insbesondere aus einer prozessualen Revision oder aus einer Wie derer wägung der leistungszusprechenden Verfügung ergeben kann. Für eine Rücker stattung nach Art. 25 Abs. 1 ATSG gelten daher die gleichen Voraussetzungen wie für eine Wiedererwägung oder eine prozessuale Revision (Urteil des Bundes gerichts 8C_207/2010 vom 31. Mai 2010 E. 2).</w:t>
      </w:r>
    </w:p>
    <w:p>
      <w:r>
        <w:rPr>
          <w:b/>
        </w:rPr>
        <w:t>E. 1.6</w:t>
      </w:r>
    </w:p>
    <w:p>
      <w:r>
        <w:t>Im Rahmen einer Wiedererwägung kann der Versicherungsträger auf formell rechtskräftige Verfügungen oder Einspracheentscheide zurückkommen, wenn diese zweifellos unrichtig sind und wenn ihre Berichtigung von erheblicher Bedeu tung ist (Art. 53 Abs. 2 ATSG). Von der Wiedererwägung ist die so genannte pro zessuale Revision von Verwaltungsverfügungen zu unterscheiden. Danach ist die Verwaltung verpflichtet, auf eine formell rechtskräftige Verfügung zurückzu kom men, wenn neue Tatsachen oder neue Beweismittel entdeckt werden, die geeignet sind, zu einer anderen rechtlichen Beurteilung zu führen (BGE 126 V 24 E. 4b).</w:t>
      </w:r>
    </w:p>
    <w:p>
      <w:r>
        <w:rPr>
          <w:b/>
        </w:rPr>
        <w:t>E. 1.7</w:t>
      </w:r>
    </w:p>
    <w:p>
      <w:r>
        <w:t>Gemäss Art. 25 Abs. 2 ATSG erlischt der Rückforderungsanspruch mit dem Ab lauf eines Jahres, nachdem die Versicherungseinrichtung davon Kenntnis erhal ten hat, spätestens aber mit dem Ablauf von fünf Jahren nach der Entrichtung der ein zelnen Leistung. Wird der Rückerstattungsanspruch aus einer strafbaren Hand lung hergeleitet, für welche das Strafrecht eine längere Verjährungsfrist vor sieht, so ist diese Frist massgebend.</w:t>
      </w:r>
    </w:p>
    <w:p>
      <w:r>
        <w:t>Bei diesen Fristen handelt es sich um Verwir kungsfristen, die immer und von Amtes wegen zu berücksichtigen sind (BGE 133 V 582 E.</w:t>
      </w:r>
    </w:p>
    <w:p>
      <w:r>
        <w:t>4.1; 128 V 12 E.</w:t>
      </w:r>
    </w:p>
    <w:p>
      <w:r>
        <w:t>1). Für den Beginn der relativen einjährigen Ver wir kungsfrist sind nicht das erst malige unrichtige Handeln und die daran anknüp fende unrecht mässige Leis tungsaus richtung massgebend. Abzustellen ist auf je nen Tag, an dem die Ver waltung später bei der ihr gebotenen und zumutbaren Aufmerk samkeit den Fehler hätte erkennen müssen und dass die Voraussetzun gen für eine Rücker stattung bestehen (BGE 124 V 383 E. 1; 122 V 274 f. E. 5a und 5b/ aa ; SVR 2002 IV Nr. 2, I 678/00, E. 3b). Massgebend ist daher jener Tag, an dem sich die Amtsstelle später - bei spielsweise anlässlich einer Rechnungs kon trolle - unter Anwendung der ihr zumut baren Aufmerksamkeit über ihren Feh ler hätte Re chenschaft geben müssen. Nach der Rechtsprechung ist mit dem Grundsatz, wonach nicht der ursprüngliche Irrtum, sondern erst ein „zweiter An lass" die relative einjährige Verwirkungsfrist auslöse, zwar eine gewisse Rechts unsicher heit verbunden, da häufig erst die Ein leitung einer periodischen Über prüfung, deren Zeitpunkt von der Verwaltung bestimmt wird, die Verwir kungs frist aus löst. Dies sei indessen hinzunehmen und könne nicht als willkür lich be zeichnet werden (Urteil des Bundesgerichts vom 19. Februar 2010, 9C_482/2009, E. 3.3.2 ). Massgebend für den Beginn der abso luten Frist von fünf Jahren ist der tat säch liche Bezug der einzelnen Leistung. 2.</w:t>
      </w:r>
    </w:p>
    <w:p>
      <w:r>
        <w:rPr>
          <w:b/>
        </w:rPr>
        <w:t>E. 2.1</w:t>
      </w:r>
    </w:p>
    <w:p>
      <w:r>
        <w:t>Die Beschwerdegegnerin ging im angefochtenen Einspracheentscheid vom 12. Mai 2017 (Urk. 2) davon aus, dass sie den Anspruch der Beigeladenen 1 auf Leistungen für die sich in einem Heim aufhaltende Beigeladene 2 auf Grund einer Änderung der kantonalen Praxis bei der Heimberechnung für Kinder neu bemes sen habe (S. 5). Sie habe der Beschwerdeführerin mit Verfügung vom 26. Januar 2016 eine Nachzahlung von Ergänzungs- und Zusatzleistungen für die Beigela dene 2 für die Zeit vom 1. Oktober 2013 bis 30. April 2016 ausgerichtet. Da die Invalidenversicherung am 18. Juli 2016 einen Anspruch der Beigeladenen 1 auf eine Rente der Invalidenversicherung rückwirkend verneint und am 3. Januar 2017 sämtliche den Beigeladenen bisher ausgerichtete Renten- und Kinderren tenleistungen von den Empfängern der Leistungsauszahlungen zurückgefordert habe, habe die Beschwerdeführerin die ihr für die Beigeladene 2 ausgerichteten Ergänzungs- und Zusatzleistungen im Betrag von insgesamt Fr. 200'460.-- zu rückzuerstatten (S. 2). Da sie erst mit Erhalt der leistungsverneinenden Verfügung der IV-Stelle am 19. Juli 2016 habe erkennen können, dass sie zu Unrecht Ergän zungs - und Zusatzleistungen für die Beigeladenen ausgerichtet habe, sei von ei nem Beginn der einjährigen relativen Verwirkungsfrist zu diesem Zeitpunkt aus zugehen. Ein Anspruch auf Rückerstattung gegen die Beschwerdegegnerin im Umfang von Fr. 200'460.-- sei daher ausgewiesen (S. 5).</w:t>
      </w:r>
    </w:p>
    <w:p>
      <w:r>
        <w:rPr>
          <w:b/>
        </w:rPr>
        <w:t>E. 2.2</w:t>
      </w:r>
    </w:p>
    <w:p>
      <w:r>
        <w:t>Die Beschwerdeführerin brachte hiegegen vor, dass die Beschwerdegegnerin Kenntnis des Entscheids des hiesigen Gerichts vom 12. März 2010, womit die rentenzusprechende Verfügung der IV-Stelle vom 17. Juli 2008 aufgehoben wurde, gehabt habe (Urk. 1 S. 6). Aus diesem Grunde sei der geltend gemachte Rückforderungsanspruch bereits verwirkt. In masslicher Hinsicht bestritt die Be schwerdeführerin die Rückerstattungsforderung im Betrag von insgesamt Fr. 200'460.-- indes nicht. Sie bestritt auch nicht, Leistungen in diesem Umfang erhalten zu haben (Urk. 1). 3. 3.1</w:t>
      </w:r>
    </w:p>
    <w:p>
      <w:r>
        <w:t>Anspruch auf Ergänzungsleistungen haben unter anderem Personen mit Wohn sitz und gewöhnlichem Aufenthalt in der Schweiz, wenn sie Anspruch auf eine Rente der Invalidenversicherung haben (Art. 4 Abs. 1 lit . c des Bundesgesetz es über Ergänzungsleistungen zur Alters-, Hinterlassenen- und Invalidenversiche rung, ELG). Die Berechnung der jährlichen Ergänzungsleistung ist in den Art. 9 ff. ELG und Art. 1 ff. ELV geregelt. Hat die EL-ansprechende oder -beziehende Person Kinder, die einen Anspruch auf eine Kinderrente der IV begründen, so ist die Ergänzungsleistung gesondert zu berechnen, wenn das Kind nicht bei den Eltern oder nicht beim rentenberechtigten Elternteil lebt (Art. 7 Abs. 1 lit . c und Abs. 2 ELV in Verbindung mit Art. 9 Abs. 5 lit . a ELG). Anrecht auf Ergänzungs leistungen haben indes, sofern die übrigen Voraussetzungen gegeben sind, nur Personen, die einen selbständigen (originären) Anspruch auf eine IV-Rente ha ben. Kinder, für die ein Anspruch auf eine Kinderrente nach Art. 35 Abs. 1 des Bundesgesetzes über die Invalidenversicherung (IVG) besteht, können keinen ei genen Anspruch auf Ergänzungsleistungen begründen. Das gilt auch bei geson derter Berechnung der Ergänzungsleistung gestützt auf Art. 7 Abs. 1 lit . c und Abs. 2 ELV (BGE 138 V 292 E. 3.2). 3.2</w:t>
      </w:r>
    </w:p>
    <w:p>
      <w:r>
        <w:t>Mit Erlass der in Rechtskraft erwachsenen Ve rfügung der IV-Stelle vom 18. Juli 2016 (Urk. 11/145) , womit ein Anspruch der Beigeladenen 1 auf Invaliden- und Kinderrenten der Invalidenversicherung verneint wurde, stand fest, dass die Bei geladene 1 die Anspruchsvoraussetzung von Art. 4 Abs. 1 lit . c ELG nicht erfüllte. Unter diesen Umständen war die Ausrichtung von Ergänzungs- und Zusatzleis tungen für die Beigeladene 2 für die Zeit vom 1. Oktober 2013 bis 30. April 2016 an die Beschwerdeführerin mit den Verfügungen vom 26. Januar 2016 (Urk. 7/45-73) zweifellos unrichtig. Angesichts der Höhe der insgesamt zu Un recht ausgerichteten Leistungen im Betrag von Fr. 200'460.-- ist die Berichtigung von erheblicher Bedeutung, sodass die Voraussetzungen für ein wiedererwä gungsweises Zurückkommen auf die Leistungsausrichtung erfüllt sind.</w:t>
      </w:r>
    </w:p>
    <w:p>
      <w:r>
        <w:rPr>
          <w:b/>
        </w:rPr>
        <w:t>E. 4</w:t>
      </w:r>
    </w:p>
    <w:p>
      <w:r>
        <w:t>Abs. 1 der Verordnung über den Allgemeinen Teil des Sozi alversicherungs rechts, ATSV).</w:t>
      </w:r>
    </w:p>
    <w:p>
      <w:r>
        <w:rPr>
          <w:b/>
        </w:rPr>
        <w:t>E. 4.1</w:t>
      </w:r>
    </w:p>
    <w:p>
      <w:r>
        <w:t>Zu prüfen bleibt, ob die Rückforderung nicht bereits verwirkt ist.</w:t>
      </w:r>
    </w:p>
    <w:p>
      <w:r>
        <w:rPr>
          <w:b/>
        </w:rPr>
        <w:t>E. 4.2</w:t>
      </w:r>
    </w:p>
    <w:p>
      <w:r>
        <w:t>In Bezug auf die einjährige relative Verwirkungsfrist von Art. 25 Abs. 2 ATSG erkannte das hiesige Gericht in E. 3.2 des in Rechtskraft erwachsenen invaliden versicherungsrechtlichen Urteils in Sachen der Beschwerdeführerin vom 29. März 2018 (Prozess Nr. IV.2017.00143), dass die IV-Stelle auf Grund der Erwägungen des Rückweisungsurteils des hiesigen Gerichts vom 12. März 2010 (Prozess Nr. IV.2008.00948; Urk. 11/53) ohne weiteres habe davon ausgehen dürfen, dass die von ihr verfügte Zusprache einer Viertelsrente Bestand haben werde, weshalb nicht von einer Auslösung der relativen einjährigen Frist gemäss Art. 25 Abs. 2 ATSG durch Kenntnis des Urteils vom 12. März 2010 auszugehen sei.</w:t>
      </w:r>
    </w:p>
    <w:p>
      <w:r>
        <w:rPr>
          <w:b/>
        </w:rPr>
        <w:t>E. 4.3</w:t>
      </w:r>
    </w:p>
    <w:p>
      <w:r>
        <w:t>Die Erwägungen des hiesigen Gerichts zum Beginn der relativen einjährigen Ver wirkungsfrist Frist gemäss Art. 25 Abs. 2 ATSG im erwähnten Urteil vom 29. März 2018 (vorstehend E. 4.2) sind auch in vorliegendem er gänzungsleistungsrechtlichen Verfahren zu beachten. Vorliegend gilt es indes zu sätzlich zu berücksichtigen, dass die Beschwerdegegnerin die Auszahlung der fraglichen Leistungen im Betrag von Fr. 200'460.-- erst mit Verfügungen vom 26. Januar 2016 (Urk. 7/45-73) rückwirkend für die Zeit ab 1. Oktober 2013 an ordnete. Demnach hätte die Beschwerdegegnerin, selbst wenn feststünde, dass sie bereits kurze Zeit nach dem Zeitpunkt der Auszahlung der streitigen Leistungen an die Beschwerdeführerin Kenntnis von einem fehlenden Anspruch der Beigela denen und somit von der Unrechtmässigkeit der Leistungsausrichtung gehabt hätte, mit Erlass der Verfügung vom 9. Januar 2017 (Urk. 7/104), womit sie von der Beschwerdeführerin zu Unrecht ausgerichtete Leistungen im Betrag von Fr. 200'460.-- zurückforderte, den Rückforderungsanspruch rechtzeitig sowohl innerhalb der einjährigen relativen Verwirkungsfrist ab Kenntnis des Rückforde rungsanspruch als auch innerhalb der fünfjährigen absoluten Verwirkungsfrist ab Entrichtung der unrechtmässig ausgerichteten Leistung gemäss Art. 25 abs. 2 ATSG gegenüber der Beschwerdeführerin geltend gemacht. Unter diesen Umstän den kann die Frage nach dem genauen Zeitpunkt zu dem die Beschwerdegegnerin Kenntnis des Rückforderungsanspruchs erhalten hatte, vorliegend daher offen bleiben.</w:t>
      </w:r>
    </w:p>
    <w:p>
      <w:r>
        <w:rPr>
          <w:b/>
        </w:rPr>
        <w:t>E. 5</w:t>
      </w:r>
    </w:p>
    <w:p>
      <w:r>
        <w:t>Nach Gesagtem ist die - in masslicher Hinsicht unbestrittene - Rückforderung der Beschwerdegegnerin gegenüber der Beschwerdeführer in im Betrag von Fr. 200'460.-- ausgewiesen.</w:t>
      </w:r>
    </w:p>
    <w:p>
      <w:r>
        <w:t>Demzufolge ist die Beschwerde</w:t>
      </w:r>
    </w:p>
    <w:p>
      <w:r>
        <w:t>abzuweisen.</w:t>
      </w:r>
    </w:p>
    <w:p>
      <w:r>
        <w:rPr>
          <w:b/>
        </w:rPr>
        <w:t>E. 6</w:t>
      </w:r>
    </w:p>
    <w:p>
      <w:r>
        <w:t>Im Verfahren der Verwaltungsgerichtsbeschwerde darf obsiegenden Behörden o der mit öf fent lichrechtlichen Aufgaben betrauten Organisationen in der Re gel keine Parteientschädigung zugesprochen werden. In An wen du ng dieser Bestim mung hat das Bundesgericht der SUVA und den privaten UVG-Versiche rern so wie – von Sonderfällen abgesehen – den Krankenkassen keine Partei entschädigungen zugesprochen, weil sie als Orga nisa tionen mit öffentlichrechtlichen Aufgaben zu qua lifizieren sind (BGE 112 V 356 E. 6 mit Hinweisen). Das hat grund sätzlich auch für die Trägerinnen oder Versicherer der berufli chen Vorsorge gemäss BVG zu gelten (BGE 128 V 124 E. 5b, 126 V 143 E. 4a, 118 V 158 E. 7, 117 V 349 E. 8 mit Hinweis).</w:t>
      </w:r>
    </w:p>
    <w:p>
      <w:r>
        <w:t>Zu den mit öffentlichrechtlichen Aufgaben betrauten Organisationen gehört auch die Beschwerdegegnerin , weshalb ihrem Antrag auf Prozessentschädigung (Urk. 5 S. 2) nicht zu entsprechen ist.</w:t>
      </w:r>
    </w:p>
    <w:p>
      <w:r>
        <w:t>Das Gericht erkennt: 1.</w:t>
      </w:r>
    </w:p>
    <w:p>
      <w:r>
        <w:t>Die Beschwerde wird abgewiesen. 2.</w:t>
      </w:r>
    </w:p>
    <w:p>
      <w:r>
        <w:t>Das Verfahren ist kostenlos. 3.</w:t>
      </w:r>
    </w:p>
    <w:p>
      <w:r>
        <w:t>Es wird keine Prozessentschädigung ausgerichtet. 4.</w:t>
      </w:r>
    </w:p>
    <w:p>
      <w:r>
        <w:t>Zustellung gegen Empfangsschein an: - Gemeinde X.___ - Stadt Y.___ - B.___ - Bundesamt für Sozialversicherungen - Sicherheitsdirektion Kanton Zürich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