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ZL.2017.00002 vom 26. Januar 2018</w:t>
      </w:r>
    </w:p>
    <w:p>
      <w:r>
        <w:t>ZH Sozialversicherungsgericht, 2018-01-26, DE</w:t>
      </w:r>
    </w:p>
    <w:p>
      <w:r>
        <w:rPr>
          <w:b/>
        </w:rPr>
        <w:t xml:space="preserve">Quelle: </w:t>
      </w:r>
      <w:r>
        <w:t>https://mcp.opencaselaw.ch/entscheid/zh_sozialversicherungsgericht_ZL.2017.00002</w:t>
      </w:r>
    </w:p>
    <w:p>
      <w:r>
        <w:t>FR: ZH_SOZIALVERSICHERUNGSGERICHT ZL.2017.00002 du 26 janvier 2018</w:t>
      </w:r>
    </w:p>
    <w:p>
      <w:r>
        <w:t>IT: ZH_SOZIALVERSICHERUNGSGERICHT ZL.2017.00002 del 26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1946 , bezieht von der Sozialversicherungsanstalt des Kantons Zürich (SVA) , Zusatzleistungen zur AHV/IV (Durchführungsstelle) , an welche die Gemeinde Y.___ die Ausrichtung von Zusatzleistungen übertragen hat ,</w:t>
      </w:r>
    </w:p>
    <w:p>
      <w:r>
        <w:t>seit dem 1. Januar 2012 Zusatzleistungen zu seiner Altersrent e ( vgl. Verfügu ng vom 3. Januar 2012, Urk. 7/51 ; Verfügung vom 3. Oktober 2012 , Urk. 7/67; vgl. auch Urk. 7/3/4 ).</w:t>
      </w:r>
    </w:p>
    <w:p>
      <w:r>
        <w:t>Die Durchführungsstelle stellte mit Verfügung vom 14. April 2016 (Urk. 7/199 = Urk. 7/257 ) die Zusatzleistungen infolge Wohnsitzwechsel s des Versicherten</w:t>
      </w:r>
    </w:p>
    <w:p>
      <w:r>
        <w:t>von Y.___ nach</w:t>
      </w:r>
    </w:p>
    <w:p>
      <w:r>
        <w:t>Z.___ rückwirkend per 1. Juli 2015 ein . Die dagegen erhobene Einsprache (Urk. 7/210 = Urk. 7/212 = Urk. 7/223 ; Urk. 7/240) wies sie mit Entscheid vom 23. November 2016 (Urk. 7/254 = Urk. 2) ab.</w:t>
      </w:r>
    </w:p>
    <w:p>
      <w:r>
        <w:rPr>
          <w:b/>
        </w:rPr>
        <w:t>E. 1.1</w:t>
      </w:r>
    </w:p>
    <w:p>
      <w:r>
        <w:t>Gemäss Art. 2 Abs. 1 des Bundesgesetzes über Ergänzungsleistungen zur Alters-, Hinterlassenen- und Invalidenversicherung (ELG) haben Personen An spruch auf Ergänzungsleistungen, wenn sie die Voraussetzungen nach Art. 4-6 ELG erfüllen.</w:t>
      </w:r>
    </w:p>
    <w:p>
      <w:r>
        <w:t>Die jährliche Ergänzungsleistung entspricht dem Betrag, um den die aner kannten Ausgaben die anrechenbaren Einnahmen übersteigen (Art. 9 Abs. 1 ELG).</w:t>
      </w:r>
    </w:p>
    <w:p>
      <w:r>
        <w:rPr>
          <w:b/>
        </w:rPr>
        <w:t>E. 1.2</w:t>
      </w:r>
    </w:p>
    <w:p>
      <w:r>
        <w:t>Zuständig für die Festsetzung und die Auszahlung von Ergänzungsleistungen ist der Kanton, in dem die Bezügerin oder der Bezüger Wohnsitz hat</w:t>
      </w:r>
    </w:p>
    <w:p>
      <w:r>
        <w:t>(Art. 21 Abs. 1 ELG ). Innerhalb des Kantons ist die Wohnsitzgemeinde zuständig (§ 21 Abs. 1 des Zusatzleistungsges etzes des Kantons Zürich, ZLG).</w:t>
      </w:r>
    </w:p>
    <w:p>
      <w:r>
        <w:rPr>
          <w:b/>
        </w:rPr>
        <w:t>E. 1.3</w:t>
      </w:r>
    </w:p>
    <w:p>
      <w:r>
        <w:t>Im Kanton Zürich ist es die Aufgabe der politischen Gemeinden, die Zusatz leistungen zur AHV/IV (Ergänzungsleistungen gemäss ELG , kantonale Beihilfen und Zuschüsse) auszurichten (§</w:t>
      </w:r>
    </w:p>
    <w:p>
      <w:r>
        <w:rPr>
          <w:b/>
        </w:rPr>
        <w:t>E. 2</w:t>
      </w:r>
    </w:p>
    <w:p>
      <w:r>
        <w:t>ZLG). Die politische Gemeinde bezeichnet die Verwaltungsstelle, die mit d er Durchführung betraut wird (§</w:t>
      </w:r>
    </w:p>
    <w:p>
      <w:r>
        <w:rPr>
          <w:b/>
        </w:rPr>
        <w:t>E. 3</w:t>
      </w:r>
    </w:p>
    <w:p>
      <w:r>
        <w:t>ZLG). Sie kann die Aufgaben (§ 7b Abs. 2 ZLG) mittels Anschlussvereinbarung auch der SVA übertragen (§</w:t>
      </w:r>
    </w:p>
    <w:p>
      <w:r>
        <w:t>7a Abs . 1 ZLG).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