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ZL.2016.00111 vom 16. Mai 2017</w:t>
      </w:r>
    </w:p>
    <w:p>
      <w:r>
        <w:t>ZH Sozialversicherungsgericht, 2017-05-16, DE</w:t>
      </w:r>
    </w:p>
    <w:p>
      <w:r>
        <w:rPr>
          <w:b/>
        </w:rPr>
        <w:t xml:space="preserve">Quelle: </w:t>
      </w:r>
      <w:r>
        <w:t>https://mcp.opencaselaw.ch/entscheid/zh_sozialversicherungsgericht_ZL.2016.00111</w:t>
      </w:r>
    </w:p>
    <w:p>
      <w:r>
        <w:t>FR: ZH_SOZIALVERSICHERUNGSGERICHT ZL.2016.00111 du 16 mai 2017</w:t>
      </w:r>
    </w:p>
    <w:p>
      <w:r>
        <w:t>IT: ZH_SOZIALVERSICHERUNGSGERICHT ZL.2016.00111 del 16 maggio 2017</w:t>
      </w:r>
    </w:p>
    <w:p>
      <w:pPr>
        <w:pStyle w:val="Heading2"/>
      </w:pPr>
      <w:r>
        <w:t>Erwägungen</w:t>
      </w:r>
    </w:p>
    <w:p>
      <w:r>
        <w:rPr>
          <w:b/>
        </w:rPr>
        <w:t>E. 1</w:t>
      </w:r>
    </w:p>
    <w:p>
      <w:r>
        <w:t>X.___, geboren 1945, bezieht von der Sozialversicherungsanstalt des Kantons Zürich, Zusatzleistungen zur AHV/IV (Durchführungsstelle), Zusatz leistungen zu seiner Altersrente (vgl. Urk. 8/17; Urk. 8/25; Urk. 8/31; Urk. 8/36; Urk. 8/50; Urk. 8/67).</w:t>
      </w:r>
    </w:p>
    <w:p>
      <w:r>
        <w:t>Mit Rückerstattungsverfügung vom 19. Februar 2016 (Urk. 8/78) verpflich tete die Durchführungsstelle den Versicherten infolge rückwirkender Anrech nung der vier verpachteten Grundstücke und des Pachtzinses zur Rücker stattung von Zusatzleistungen in der Höhe von insgesamt Fr. 59‘738.-- für die Zeit vom 1. Mai 2013 bis 29. Februar 2016. Die dagegen vom Versicher ten erhobene Einsprache (Urk. 8/111) wies die Durchführungsstelle mit Ein spracheentscheid vom 12. Juli 2016 (Urk. 8/118 = Urk. 2) ab.</w:t>
      </w:r>
    </w:p>
    <w:p>
      <w:r>
        <w:rPr>
          <w:b/>
        </w:rPr>
        <w:t>E. 1.1</w:t>
      </w:r>
    </w:p>
    <w:p>
      <w:r>
        <w:t>Gemäss Art. 25 Abs. 1 des Bundesgesetzes über den Allgemeinen Teil des Sozialversicherungsrechts (ATSG) sind unrechtmässig bezogene Leistungen zurückzuerstatten. Die Unrechtmässigkeit des Bezugs von Ergänzungs leis tung en ergibt sich dadurch, dass die Berechnungsgrundlagen rückwirkend so angepasst werden, dass aus der Neuberechnung ein tieferer Anspruch resul tiert als ursprünglich ausgerichtet (Carigiet/Koch, Ergänzungsleistungen zur AHV/IV, 2. überarbeitete und ergänzte Auflage, Zürich/Basel/Genf 2009, S.</w:t>
      </w:r>
    </w:p>
    <w:p>
      <w:r>
        <w:t>98 ). Rechtsprechungsgemäss ist für die Rückforderung von formell rechts kräftig ausgerichteten Leistungen jedoch erforderlich, dass entweder die Vor aussetzungen für eine Wiedererwägung oder die Voraussetzungen für eine prozessuale Revision (Art. 53 Abs. 1 und 2 ATSG) erfüllt sind (BGE 129 V 110 E. 1.1).</w:t>
      </w:r>
    </w:p>
    <w:p>
      <w:r>
        <w:t>Der Rückforderungsanspruch erlischt mit dem Ablauf eines Jahres, nachdem die Versicherungseinrichtung davon Kenntnis erhalten hat, spätestens aber mit dem Ablauf von fünf Jahren nach der Entrichtung der einzelnen Leistung (Art. 25 Abs. 2 Satz 1 ATSG). Es handelt sich bei diesen Fristen um Ver wirkungsfristen (BGE 139 V 6 E. 2). Wird der Rückerstattungsanspruch aus einer strafbaren Handlung hergeleitet, für welche das Strafrecht eine längere Verjährungsfrist vorsieht, so ist diese Frist massgebend (Art. 25 Abs. 2 Satz 2 ATSG).</w:t>
      </w:r>
    </w:p>
    <w:p>
      <w:r>
        <w:rPr>
          <w:b/>
        </w:rPr>
        <w:t>E. 1.2</w:t>
      </w:r>
    </w:p>
    <w:p>
      <w:r>
        <w:t>Die jährliche Ergänzungsleistung entspricht dem Betrag, um den die aner kannten Ausgaben die anrechenbaren Einnahmen übersteigen (Art. 9 Abs. 1 des Bundesgesetz es über Ergänzungsleistungen zur Alters-, Hinterlassenen- und Invalidenversicherung, ELG).</w:t>
      </w:r>
    </w:p>
    <w:p>
      <w:r>
        <w:t>Die anrechenbaren Einnahmen werden nach Art. 11 ELG ermittelt. Als Ein nahmen anzurechnen sind nach Art. 11 Abs. 1 ELG unter anderem Einkünfte aus beweglichem und unbeweglichem Vermögen (lit. b) sowie bei Alters rentnern ein Zehntel des Reinvermögens, soweit es bei alleinstehenden Per sonen Fr. 37‘500.-- übersteigt. Gehört dem Bezüger oder einer Person, die in die Berechnung der Ergänzungsleistung eingeschlossen ist, eine Liegenschaft, die mindestens von einer dieser Personen bewohnt wird, so ist nur der Fr. 112‘500.-- übersteigende Wert der Liegenschaft beim Vermögen zu berück sichtigen (lit. c).</w:t>
      </w:r>
    </w:p>
    <w:p>
      <w:r>
        <w:t>Für in Heimen oder Spitälern lebende Personen können die Kantone den Vermögensverzehr abweichend von Art. 11 Abs. 1 lit. c ELG festlegen, wobei sie diesen auf höchstens einen Fünftel erhöhen können (Art. 11 Abs. 2 ELG). Von dieser Kompetenz hat der Kanton Zürich in § 11 Abs. 3 des Gesetzes über die Zusatzleistungen zur eidgenössischen Alters-, Hinterlassenen- und Invalidenversicherung (ZLG) Gebrauch gemacht und den Vermögensverzehr für Altersrentner in Heimen und Spitälern auf das Maximum von einem Fünftel erhöht.</w:t>
      </w:r>
    </w:p>
    <w:p>
      <w:r>
        <w:rPr>
          <w:b/>
        </w:rPr>
        <w:t>E. 1.3</w:t>
      </w:r>
    </w:p>
    <w:p>
      <w:r>
        <w:t>Gestützt auf Art. 9 Abs. 5 lit. b ELG hat der Bundesrat in Art. 17 der Ver ordnung über die Ergänzungsleistungen zur Alters-, Hinterlassenen- und Invalidenversicherung (ELV) nähere Bestimmungen zur Vermögensbewertung erlassen. Danach ist das anrechenbare Vermögen nach den Grundsätzen der Ge setzgebung über die direkte kantonale Steuer für die Bewertung des Vermögens im Wohnsitzkanton zu bewerten (Abs. 1). Dienen Grundstücke allerdings dem Bezüger oder einer Person, die in der EL-Berechnung ein geschlossen ist, nicht zu eigenen Wohnzwecken, so sind diese zum Verkehrs wert einzusetzen (Abs. 4). Bei der Anwendung von Art. 17 Abs. 4 ELV ist den Zielen des bäuerlichen Bodenrechts Rechnung zu tragen (vgl. hierzu Stauffer/Cardinaux [Hrsg.], Rechtsprechung des Bundesgerichts zum ELG, 3. Auflage, Zürich/Basel/Genf 2015, Rz 364 zu Art. 11). Von der in Art. 17 Abs. 6 ELV den Kantonen gewährten Möglichkeit, anstelle des Verkehrs wertes einheitlich den für die interkantonale Steuerausscheidung massge benden Repartitionswert anzuwenden, hat der Kanton Zürich keinen Ge brauch gemacht (vgl. Weisung des Kantonalen Sozialamtes zum Vollzug der Zusatzleistungen zur AHV/IV vom 27. März 2013, Stand 1. Januar 2017, S. 10 Ziff. 2.2.1).</w:t>
      </w:r>
    </w:p>
    <w:p>
      <w:r>
        <w:rPr>
          <w:b/>
        </w:rPr>
        <w:t>E. 1.4</w:t>
      </w:r>
    </w:p>
    <w:p>
      <w:r>
        <w:t>Der Verkehrswert entspricht dem Marktwert, das heisst dem mutmasslichen Erlös, der auf dem freien Markt erzielbar wäre. Wie der Verkehrswert zu ermitteln ist, wird in der Gesetzgebung nicht vorgeschrieben. Nach der Ver waltungspraxis ist dieser Wert in Anlehnung an einen amtlich festgesetzten oder sonst wie anerkannten Wert oder nötigenfalls durch eine Schätzung zu ermitteln (vgl. Carigiet/Koch, a.a.O., S. 171; vgl. auch Urteil des Bundes ge richts 8C_849/2008 vom 16. Juni 2009 E. 6.3.4). Der Verkehrswert gelangt nicht zur Anwendung, wenn von Gesetzes wegen ein Rechtsanspruch auf den Erwerb zu einem tieferen Wert besteht. Dies ist beispielsweise dann der Fall, wenn Anspruch auf die Übernahme eines landwirtschaftlichen Gewerbes zum Ertragswert oder eines landwirtschaftlichen Grundstückes zum doppelten Er tragswert besteht (vgl. 44 BGBB; Wegleitung über die Ergänzungsleis tung en zur AHV und IV, WEL, gültig ab 1. April 2011, Stand 1. Januar 2016, Rz 3444.04).</w:t>
      </w:r>
    </w:p>
    <w:p>
      <w:r>
        <w:rPr>
          <w:b/>
        </w:rPr>
        <w:t>E. 2</w:t>
      </w:r>
    </w:p>
    <w:p>
      <w:r>
        <w:t>Das Verfahren ist kostenlos.</w:t>
      </w:r>
    </w:p>
    <w:p>
      <w:r>
        <w:rPr>
          <w:b/>
        </w:rPr>
        <w:t>E. 2.1</w:t>
      </w:r>
    </w:p>
    <w:p>
      <w:r>
        <w:t>Den Akten lässt sich entnehmen, dass die Rückforderung infolge rück wir kender Anrechnung von vier verpachteten Grundstücken verfügt wurde, welche der Beschwerdeführer gemeinsam mit seinen zwei Brüdern als Erben gemeinschaft bereits seit längerem besitzt. Dies ergab sich erst im Rahmen der im Jahr 2015 eingeleiteten periodischen Leistungsüberprüfung (vgl. Urk. 8/52-55; Urk. 8/58; Urk. 8/60; Urk. 8/78 S. 3). Die Rechtmässigkeit der rückwirkenden Anpassung der Berechnungsgrundlagen und eines allfälliges Rückforderungsanspruchs (vgl. hierzu vorstehend E. 1.1) ist zwischen den Par teien nicht umstritten. Strittig sind einzig die bei der Berechnung zu berück sichtigenden Vermögenswerte dieser Grundstücke.</w:t>
      </w:r>
    </w:p>
    <w:p>
      <w:r>
        <w:rPr>
          <w:b/>
        </w:rPr>
        <w:t>E. 2.2</w:t>
      </w:r>
    </w:p>
    <w:p>
      <w:r>
        <w:t>Die Beschwerdegegnerin stellte bei der Berechnung des Rückforderungs an spruchs als Berechnungsgrundlage für die Vermögenswerte der vier Grund stücke auf den Verkehrswert zum Zeitpunkt der Erbteilung respektive auf die Verkehrswertschätzung der Zürcher Kantonalbank aus dem Jahr 1993 ab, wonach sich der Verkehrswert der vier Grundstücke auf insgesamt Fr. 404‘660.-- belaufe. Der anrechenbare Anteil pro Person (drei Brüder) betrage demnach Fr. 134‘886.-- (Fr. 404‘660.-- : 3; vgl. Urk. 2 S. 2, Urk. 8/78 S. 3). Demgegenüber machte der Beschwerdeführer geltend, die Verkehrs wertschätzung aus dem Jahr 1993 sei nicht mehr aktuell und die Be stim mungen des BGBB seien nicht eingehalten worden. Es seien die Grund stück schätzungen des ALN respektive des Bauernverbandes zu berücksich tigen (vgl. Urk. 1 S. 2 ff.).</w:t>
      </w:r>
    </w:p>
    <w:p>
      <w:r>
        <w:rPr>
          <w:b/>
        </w:rPr>
        <w:t>E. 2.3</w:t>
      </w:r>
    </w:p>
    <w:p>
      <w:r>
        <w:t>Im Rahmen des Beschwerdeverfahrens reichte der Beschwerdeführer unter anderem ein Schreiben des ALN vom 7. November 2016 (Urk. 12/4) ein, wonach die betroffenen vier Grundstücke alle landwirtschaftlich genutzt und in den Geltungsbereich des BGBB fallen würden, der Ertragswert indessen keine Anwendung finde, da keine Nachkommen über ein landwirtschaftliches Gewerbe verfügen würden. Das bäuerliche Bodenrecht sei am 1. Januar 1994 in Kraft getreten. Im zuvor geltenden Landwirtschaftlichen Entschuldungs gesetz habe die Konzeption des höchstzulässigen Preises noch nicht existiert. Damals sei lediglich geprüft worden, ob Spekulationsabsichten vorlägen. En t sprechend habe keine umfassende Preisstatistik existiert. Die Durchschnitts werte für Acker- beziehungsweise Wiesenland hätten ungefähr doppelt so viel betragen wie die heutigen Durchschnittswerte (S. 1 f.).</w:t>
      </w:r>
    </w:p>
    <w:p>
      <w:r>
        <w:t>Zudem reichte er drei Verfügungen des ALN vom 22. respektive 27. Septem ber 2016 (Urk. 12/5) ein, wonach der Erwerb dieser vier in der Gemeinde A.___ liegenden Grundstücke gestützt auf Art. 61 Abs. 2 BGBB zu den folgenden Kaufpreisen bewilligt worden sei: - Kat.-Nr. B.___ („C.___“): pauschal Fr. 22‘857.-- - Kat.-Nr. D.___ („E.___“): pauschal Fr. 63‘759.-- - Kat.-Nr. F.___ („G.___“) und Kat.-Nr. H.___ („I.___“): pauschal Fr. 75‘658.--</w:t>
      </w:r>
    </w:p>
    <w:p>
      <w:r>
        <w:t>Gestützt auf diese Erkenntnisse beantragte die Beschwerdegegnerin mit Ein gaben vom 8. Dezember 2016 (Urk. 14) sowie 27. Januar 2017 (Urk. 16) die Gutheissung der Beschwerde in dem Sinne, dass sie sich mit der Anrechnung der aktuellen vom ALN genehmigten Verkaufspreise für die in Frage steh enden Pachtgrundstücke einverstanden erkläre. Diesem Antrag schloss sich der Beschwerdeführer mit Schreiben vom 5. Mai 2017 (Urk. 20) an.</w:t>
      </w:r>
    </w:p>
    <w:p>
      <w:r>
        <w:rPr>
          <w:b/>
        </w:rPr>
        <w:t>E. 2.4</w:t>
      </w:r>
    </w:p>
    <w:p>
      <w:r>
        <w:t>Nachdem nun hinsichtlich des anrechenbaren Werts der vier Grundstücke zur Bestimmung des Rückerstattungsanspruchs übereinstimmende Anträge vor lie gen und diese mit der Akten- und Rechtslage in Einklang zu bringen sind, erweist sich die für den Zeitraum vom 1. Mai 2013 bis 29. Februar 2016 errechnete Rückforderung als unzutreffend. Die Sache ist daher zur Berech nung des konkreten Rückforderungsbetrages unter Berücksichtigung der vom ALN ermittelten Werten (vorstehend Ziff. 2.3) an die Beschwerdegegnerin zurückzuweisen. In diesem Sinne ist die Beschwerde somit gutzuheissen. Das Gericht erkennt: 1.</w:t>
      </w:r>
    </w:p>
    <w:p>
      <w:r>
        <w:t>Die Beschwerde wird in dem Sinne gutgeheissen, dass der angefochtene Ein spra cheentscheid vom 12. Juli 2016 aufgehoben und festgestellt wird, dass zur Be rechnung des Rückerstattungsanspruchs hinsichtlich des anrechenbaren Werts der vier Grundstücke auf die aktuellen vom Amt für Landschaft und Natur bewilligten Verkaufspreise im Sinne der Erwägungen abzustellen ist.</w:t>
      </w:r>
    </w:p>
    <w:p>
      <w:r>
        <w:t>Die Sache wird an die Sozialversicherungsanstalt des Kantons Zürich, Zusatz leis tungen zur AHV/IV, zurückgewiesen, damit diese nach neuerlicher Berechnung des Rückforderungsanspruchs unter Berücksichtigung dieser Grundstückswerte erneut verfüge.</w:t>
      </w:r>
    </w:p>
    <w:p>
      <w:r>
        <w:rPr>
          <w:b/>
        </w:rPr>
        <w:t>E. 3</w:t>
      </w:r>
    </w:p>
    <w:p>
      <w:r>
        <w:t>Zustellung gegen Empfangsschein an: - Y.___ - Sozialversicherungsanstalt des Kantons Zürich, Zusatzleistungen zur AHV/IV, unter Beilage einer Kopie von Urk. 20 - Bundesamt für Sozialversicherungen - Sicherheitsdirektion Kanton Zürich</w:t>
      </w:r>
    </w:p>
    <w:p>
      <w:r>
        <w:rPr>
          <w:b/>
        </w:rPr>
        <w:t>E. 4</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 l ten; der angefochtene Entscheid sowie die als Beweismittel angerufenen Urkunden sind beizulegen, soweit die Partei sie in Händen hat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