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ZL.2016.00079 vom 14. Juni 2017</w:t>
      </w:r>
    </w:p>
    <w:p>
      <w:r>
        <w:t>ZH Sozialversicherungsgericht, 2017-06-14, DE</w:t>
      </w:r>
    </w:p>
    <w:p>
      <w:r>
        <w:rPr>
          <w:b/>
        </w:rPr>
        <w:t xml:space="preserve">Quelle: </w:t>
      </w:r>
      <w:r>
        <w:t>https://mcp.opencaselaw.ch/entscheid/zh_sozialversicherungsgericht_ZL.2016.00079</w:t>
      </w:r>
    </w:p>
    <w:p>
      <w:r>
        <w:t>FR: ZH_SOZIALVERSICHERUNGSGERICHT ZL.2016.00079 du 14 juin 2017</w:t>
      </w:r>
    </w:p>
    <w:p>
      <w:r>
        <w:t>IT: ZH_SOZIALVERSICHERUNGSGERICHT ZL.2016.00079 del 14 giugno 2017</w:t>
      </w:r>
    </w:p>
    <w:p>
      <w:pPr>
        <w:pStyle w:val="Heading2"/>
      </w:pPr>
      <w:r>
        <w:t>Erwägungen</w:t>
      </w:r>
    </w:p>
    <w:p>
      <w:r>
        <w:rPr>
          <w:b/>
        </w:rPr>
        <w:t>E. 1</w:t>
      </w:r>
    </w:p>
    <w:p>
      <w:r>
        <w:t>1. Dezember 2015 ( Urk. 9/15) meldete die Versicherte der Durchführungsstelle, dass s i e seit dem 1. Dezember 2015 alleinige Bewohnerin der ihr zur Nutzniessung zur Verfügung stehenden Liegenschaft sei, und bat um entsprechende Korrektur des Mietzinsabzugs. Ferner ersuchte sie erneut um eine Neubewertung ihres Fahrzeugs und reichte eine Schätzung des Fahrzeugwerts ein ( Urk. 9/16) . Schliesslich beanstandete sie wiederum die Berechnung des Ver zichtsvermögens und ersuchte um Berücksichtigung ihrer Vorbringen in einem neuen Bescheid ( Urk. 9/15). In einem ergänzenden Schreiben vom 2 2. Januar 2016 erhob sie weitere Einwände gegen das angerechnete Verzichtsvermögen und ersuchte um Berücksichtigung der höheren Krankenkassenprämien für das Jahr 2016 ( Urk. 9/17). Am 4. März 2016 stellte die Durchführungsstelle der Versicherten zwei Verfügungen zu, mit welchen der Anspruch auf Zusatzleis tungen für den Zeitraum August bis November 2015 sowie 1. bis 3 1. Dezember 2015 verneint wurde. Im begleitenden Schreiben vom 4. März 2016 legte sie dar, dass sie den Mietzinsabzug an die neue Situation der Versicherten als allei nige Bewohnerin der Liegenschaft angepasst und den Vermögensverzicht neu auf Fr. 344‘714.-- festgesetzt habe. Sodann wies s ie erneut darauf hin, dass die Bewertung d es Fahrzeugs angepasst werde, sobald der Entscheid des Sozialver sicherungsgerichts vorliege ( Urk. 9/18). In der dagegen am 4. April 2016 erho benen Einsprach e beanstandete die Versicherte das der Zusatzleistungsb erech nung zugrunde gelegte Verzichtsvermögen und den herangezogenen Kapital wert der Nutzniessung und machte zusätzlich geltend, die Durchführungsstelle habe ihr rechtliches Gehör verletzt, indem sie die exakte Berechnung des Ver zichtsvermögens und die angewendeten gesetzlichen Grundlagen</w:t>
      </w:r>
    </w:p>
    <w:p>
      <w:r>
        <w:t>nicht offen gelegt habe ( Urk. 9/19).</w:t>
      </w:r>
    </w:p>
    <w:p>
      <w:r>
        <w:t>Mit Einspracheentscheid vom 1 3. Mai 2016 beziehungsweise mit den beigeleg ten angepassten Verfügungen für 1. August bis</w:t>
      </w:r>
    </w:p>
    <w:p>
      <w:r>
        <w:rPr>
          <w:b/>
        </w:rPr>
        <w:t>E. 1.1</w:t>
      </w:r>
    </w:p>
    <w:p>
      <w:r>
        <w:t>Nach Art. 2 des Bundesgesetzes über Ergänzungsleistungen zur Alters-, Hinterlas senen- und Invalidenversicherung gewähren der Bund und die Kantone Personen, welche die Voraussetzungen nach den Artikeln 4 – 6 erfüllen, Ergän zungsleistungen zur Deckung ihres Existenzbedarfs.</w:t>
      </w:r>
    </w:p>
    <w:p>
      <w:r>
        <w:t>Gemäss Art. 3 ELG bestehen die Ergänzungsleistungen aus der jährlichen Ergän zungsleistung ( lit . a) und der Vergütung von Krankheits- und Behinde rungskosten ( lit . b).</w:t>
      </w:r>
    </w:p>
    <w:p>
      <w:r>
        <w:rPr>
          <w:b/>
        </w:rPr>
        <w:t>E. 1.2</w:t>
      </w:r>
    </w:p>
    <w:p>
      <w:r>
        <w:t>Gemäss Art. 9 Abs. 1 ELG entspricht die jährliche Ergänzungsleistung dem Betrag, u m den die anerkannten Ausgaben nach Art. 10 ELG die anrechenbaren Einnahmen nach Art. 11 ELG übersteigen.</w:t>
      </w:r>
    </w:p>
    <w:p>
      <w:r>
        <w:t>Als Einnahmen angerechnet werden Einkünfte aus bewegliche m und unbeweg lichen Vermögen ( Art. 11 Abs. 1 lit . b ELG), ein Zehntel des Reinvermögens von Altersrentnerinnen und Altersrentnern, soweit es bei alleinstehenden Personen 37‘5 00 Franken übe rsteigt; gehört der Bezügerin oder dem Bezüger oder einer Person, die in die Berechnung der Ergänzungsleistungen eingeschlossen ist, eine Liegenschaft, die mindestens von einer dieser Personen bewohnt wird, so ist nur der 112‘500 Franken übersteige nde Wert der Liegenschaft beim Vermögen zu berücksichtigen ( Art. 11 Abs. 1 lit . c ELG; Renten der AHV, Art. 11 Abs. 2 lit . d ELG).</w:t>
      </w:r>
    </w:p>
    <w:p>
      <w:r>
        <w:t>Ebenfalls anrechenbar sind Einkünfte und Vermögenswerte, auf die ver zichtet worden ist (Art. 11 Abs. 1 lit . g ELG). Eine Verzichtshandlung liegt vor, wenn die versicherte Person ohne rechtliche Verpflichtung und ohne adäquate Gegenleistung auf Vermögen verzichtet hat, wenn sie einen Rechtsanspruch auf bestimmte Einkünfte und Vermögenswerte hat, davon aber faktisch nicht Gebrauch macht oder ihre Rechte nicht durchsetzt, oder wenn sie aus von ihr zu verantwortenden Gründen von der Ausübung einer möglichen oder zumutbaren Erwerbstätigkeit absieht (B GE 121 V 204 E. 4a, 117 V 289 E. 2a; AHI 2003 S. 221 E. 1a, je mit Hinweisen).</w:t>
      </w:r>
    </w:p>
    <w:p>
      <w:r>
        <w:rPr>
          <w:b/>
        </w:rPr>
        <w:t>E. 1.3</w:t>
      </w:r>
    </w:p>
    <w:p>
      <w:r>
        <w:t>Für die Bewertung von Verzichtsvermögen ist praxisgemäss auf die Verhältnisse abzustellen, wie sie im Zeitpunkt der Entäusserung bestanden haben. In recht licher Hinsicht sind die aktuellen gesetzlichen Grundlagen im Zeitpunkt der Geltendmachung massgebend (BGE 120 V 184 E. 4b, Urteile des Bundesgerichts in Sachen B. vom 16. Juni 2009, 8C_849/2008, E. 6.3.2 und in Sachen B. vom 15. April 2004, P 71/03, E. 3 sowie Carigiet /Koch, Ergänzungsleistungen zur AHV/IV, 2. Auflage, Zürich 2009, S. 176).</w:t>
      </w:r>
    </w:p>
    <w:p>
      <w:r>
        <w:rPr>
          <w:b/>
        </w:rPr>
        <w:t>E. 1.4</w:t>
      </w:r>
    </w:p>
    <w:p>
      <w:r>
        <w:t>) . Das</w:t>
      </w:r>
    </w:p>
    <w:p>
      <w:r>
        <w:t>wegen der Veräusserung der Liegen schaft anzurechnende Verzichtsvermögen beläuft sich somit auf</w:t>
      </w:r>
    </w:p>
    <w:p>
      <w:r>
        <w:t>Fr. 132‘193 .-- . 5. 5.1</w:t>
      </w:r>
    </w:p>
    <w:p>
      <w:r>
        <w:t>Die Durchführungsstelle hielt im angefochtenen Einspracheentscheid</w:t>
      </w:r>
    </w:p>
    <w:p>
      <w:r>
        <w:t>vom 1 3. Mai 2016 fest, die strittige Bewertung des Autos der Beschwerde - führerin könne nicht Gegenstand dieses</w:t>
      </w:r>
    </w:p>
    <w:p>
      <w:r>
        <w:t>Einspracheverfahrens bilden, da sich das Sozial versicherungsgericht wegen der hängigen</w:t>
      </w:r>
    </w:p>
    <w:p>
      <w:r>
        <w:t>Beschwerde</w:t>
      </w:r>
    </w:p>
    <w:p>
      <w:r>
        <w:t>(Verfahren ZL.2015.00074)</w:t>
      </w:r>
    </w:p>
    <w:p>
      <w:r>
        <w:t>gegen den</w:t>
      </w:r>
    </w:p>
    <w:p>
      <w:r>
        <w:t>Einspracheentscheid</w:t>
      </w:r>
    </w:p>
    <w:p>
      <w:r>
        <w:t>vom 2 2. Juni 2015 betreffend den Zusatzleistungsanspruch ab 1. Februar 2015 ( Urk. 9/5-6 ; vgl. Urk. 9/3 ) , in welcher die Bewertung des Autos ebenfalls gerügt worden sei ,</w:t>
      </w:r>
    </w:p>
    <w:p>
      <w:r>
        <w:t>zuerst mit dieser Frage befasse n müsse . S ie könne dem gerichtli chen Entscheid nicht vorgreifen ( Urk. 2 S. 3) .</w:t>
      </w:r>
    </w:p>
    <w:p>
      <w:r>
        <w:t>Diese Sichtweise ist unzutreffend. Im mit Urteil vom 2 8. April 2017 abgeschlosse nen Verfahren ZL.2015.00074 hat te das hiesige Gericht die Gesetzmässigkeit des angefochtenen Einspracheentscheids nach dem</w:t>
      </w:r>
    </w:p>
    <w:p>
      <w:r>
        <w:t>Sachver halt zu prüfen, der bei des sen</w:t>
      </w:r>
    </w:p>
    <w:p>
      <w:r>
        <w:t>Erlass am 2 2. Juni 2015 gegeben war (BGE 121 V 362 E. 1b) . Mit dem Verkauf der selbst bewohnten Liegenschaft am 1 3. August 2015 ( Urk. 9/10) hat dieser Sachverhalt eine Änderung erfahren, welche die Anwend barkeit einer anderen Methode zur Bewertung der Liegen schaft beziehungsweise der dafür erhaltenen Gegenleistung als Teil des Vermö gens nach sich zieht (vorstehend E. 1.2 und 1.3 ) und sich damit möglicherweise auf den Anspruch auf Ergänzungsleistung en auswirkt. Aufgrund der deshalb erfolgten Neuanmeldung zum Leistungsbezug a m 1 4. August 2015 ( Urk. 9/9) hatte die Durchführungsstelle den Anspruch auf Zusatzleistungen ab August 2015 unter Berücksichtigung sämtlicher Einkommens- und Verm ögenspositio nen , also auch des Privatf ahrzeugs, neu zu prüfen und darüber zu verfügen .</w:t>
      </w:r>
    </w:p>
    <w:p>
      <w:r>
        <w:t>Dem Berechnungsblatt der Verfügung en , welche integrierende Bestandteil e des angefocht enen Einspracheentscheids bilden , ist zu entnehmen, dass das Auto der Beschwerdeführerin mit einem Wert von Fr. 3‘376.-- Eingang in die Berech nung gefunden hat ( Urk. 2 S. 7 und 9). Zu prüfen ist nachfolgend, ob, wie von der Beschwerdeführerin geltend gemacht wird ( Urk. 1 S. 7 f.) , von einem Fahr zeugwert von Null auszugehen ist. 5.2</w:t>
      </w:r>
    </w:p>
    <w:p>
      <w:r>
        <w:t>Gemäss</w:t>
      </w:r>
    </w:p>
    <w:p>
      <w:r>
        <w:t>Art.</w:t>
      </w:r>
    </w:p>
    <w:p>
      <w:r>
        <w:rPr>
          <w:b/>
        </w:rPr>
        <w:t>E. 3</w:t>
      </w:r>
    </w:p>
    <w:p>
      <w:r>
        <w:t>0. November 2015 und Dezember 2015 hielt die Durchführungsstelle im Ergebnis an d er Verneinung eines Zusatzleistungsanspruchs fest. Im Dispositiv hielt sie fest , die Berechnung des Verkehrswertes der veräusserten Liegenschaft werde gutgeheissen, die Ver weigerung des rechtlichen Gehörs werde abgewiesen, die Korrektur des Zins satzes werde gutgeheissen, die Bewertung des Autos und die Berechnung der Nutzniessung würden abgewiesen (Dispositiv-Ziffer n 1 -5; Urk. 2 ). 2.</w:t>
      </w:r>
    </w:p>
    <w:p>
      <w:r>
        <w:t>Dagegen erhob di e Versicherte mit Eingabe vom 1 1. Ju ni 2016 Beschwerde und beantragte sinngemäss , es seien ihr Ergänzungs leistungen</w:t>
      </w:r>
    </w:p>
    <w:p>
      <w:r>
        <w:t>zuzusprechen und es sei festzustellen, dass der angefochtene Einspracheentscheid ihren Anspruch auf rechtliches Gehör verletze ; eventualiter sei die Sache an die Vorinstanz zurück zuweisen ( Urk. 1 S. 2). In der Beschwerdeantwort vom 1 1. August 2015 schloss die Durchführungsstelle auf Beschwerdeabweisung unter Kostenfolge zulasten der Beschwerdeführerin ( Urk.</w:t>
      </w:r>
    </w:p>
    <w:p>
      <w:r>
        <w:rPr>
          <w:b/>
        </w:rPr>
        <w:t>E. 3.1</w:t>
      </w:r>
    </w:p>
    <w:p>
      <w:r>
        <w:t>Vorab ist die von der Beschwerdeführerin gerügte Gehörsverletzung zu prüfen.</w:t>
      </w:r>
    </w:p>
    <w:p>
      <w:r>
        <w:t>Gemäss Art. 52 Abs. 2 ATSG sind Einspracheentscheide zu begründen. Die Begründungspflicht ist ein wesentlicher Bestandteil des verfassungsrechtlichen Gehörsanspruchs (BGE 124 V 81 E. 1a), wie er sich aus Art. 29 der Bundesver fassung ergibt. Als Minimalerfordernis hat die Begründung in sich schlüssig zu sein und eine Darstellung des als massgeblich erachteten Sachverhaltes sowie der zur Anwendung gelangenden Rechtsnormen zu enthalten (Locher, Grundriss des Sozialversicherungsrechts, 3. Auflage, Bern 2003, S. 459 Rz 18; Kneubühler , Die Begründungspflicht, Bern 1998, S. 176 f., 191 und 194 f.). Die Begründung muss wenigstens kurz die Überlegungen nennen, von denen sich die Einsprach einstanz leiten liess und auf welche sie ihren Entscheid stützt ( Kieser , ATSG-Kommentar, 2. Auflage, Zürich 2009, Art. 52 Rz 52). Aus der Begründung muss jedenfalls ersichtlich werden, ob und weshalb die Behörde ein Vorbringen einer Partei für unzutreffend beziehungsweise unerheblich hält oder ob sie es über haupt in Betracht gezogen hat; sie darf sich nicht auf den Hinweis beschränken, die Überlegungen der versicherten Person seien zur Kenntnis genommen und geprüft worden. Dies bedeutet indessen nicht, dass sich die Verwaltung aus drücklich mit jeder tatbeständlichen Behauptung und jedem rechtlichen Ein wand auseinander setzen muss; vielmehr kann sie sich auf die für den Entscheid wesentlichen Gesichtspunkte beschränken (BGE 126 V 75 E. 5b/ dd mit Hinweis, 118 V 56 E. 5b). Es sind an die Begründungsdichte höhere Anforderungen zu stellen, wenn der Entscheid wesentlich auf einer Ermessensbetätigung beruht, wenn er in ein verfassungsmässiges Recht eingreift oder wenn komplexe Fragen zu beantworten sind ( Kieser , a.a.O., Art. 49 Rz 56, mit Hinweisen auf die Rechtsprechung). Die Begründung - auch eines Einspracheentscheids - muss so abgefasst sein, dass eine Anfechtung des Entscheids möglich ist ( Kieser , a.a.O., Art. 61 Rz 220 und Art. 52 Rz 52).</w:t>
      </w:r>
    </w:p>
    <w:p>
      <w:r>
        <w:rPr>
          <w:b/>
        </w:rPr>
        <w:t>E. 3.2</w:t>
      </w:r>
    </w:p>
    <w:p>
      <w:r>
        <w:t>Zwar ist der Beschwerdeführerin darin Recht zu geben , dass die Durchführungs stelle</w:t>
      </w:r>
    </w:p>
    <w:p>
      <w:r>
        <w:t>die</w:t>
      </w:r>
    </w:p>
    <w:p>
      <w:r>
        <w:t>konkreten, für ihren Entscheid massgeblichen Rechtsnormen im Ein spracheentscheid nicht</w:t>
      </w:r>
    </w:p>
    <w:p>
      <w:r>
        <w:t>angegeben hat . Von Bedeutung ist aber, dass sie den Anträgen der Beschwerdeführerin sowohl bei der Berechnung des Verkehrswer tes der Liegenschaft als auch hinsichtlich des auf das Verzichtsvermögen anwendbaren Zinssatzes weitestgehend gefolgt ist ( Urk. 2 S. 1 ff.) , so dass diese Punkte nicht mehr strittig sind ( Urk. 11 S. 3) . Deshalb war keine eingehendere Begründung nötig. Die strittig gebliebene Bewertung der Nutzniessung wird nicht direkt in Gesetzes- oder Verordnungsbestimmungen geregelt . Die massge bliche Bewertungsmethode ergibt sich aus der Wegleitung des Bundesamtes für Sozialversicherungen über die Ergänzungsleistungen zur AHV und IV (WEL), welche wiederum grösstenteils auf der bundesgerichtlichen Rechtsprechung basiert. Darauf hat die Durchführungsstelle im angefochtenen Einspracheent scheid ( Urk. 2 S. 2 f.) sowie in der zugrunde liegenden Verfügung vom 4. März 2016 ( Urk. 9/18) verwiesen.</w:t>
      </w:r>
    </w:p>
    <w:p>
      <w:r>
        <w:t>Entgegen der Ansicht der Beschwerdeführerin hat die Durchführungsstelle die ihrem Entscheid zugrunde liegenden Überlegungen zumindest in kurzer Form im Einspracheentscheid wiedergegeben. So gibt die Begründung unter Beizug des dem Einspracheentscheid beigelegten Berechnungsblattes ( Urk. 2 S. 5) Auf schluss über die Methode, mit welcher sie den Kapitalwert der Nutzniessung ermittelt hat .</w:t>
      </w:r>
    </w:p>
    <w:p>
      <w:r>
        <w:t>Im</w:t>
      </w:r>
    </w:p>
    <w:p>
      <w:r>
        <w:t>Einspracheentscheid</w:t>
      </w:r>
    </w:p>
    <w:p>
      <w:r>
        <w:t>hat die Durchführungsstelle an gegeben , dass sie</w:t>
      </w:r>
    </w:p>
    <w:p>
      <w:r>
        <w:t>den für die Bewertung der Nutzniessu ng massgeblichen Marktmietwert</w:t>
      </w:r>
    </w:p>
    <w:p>
      <w:r>
        <w:t>aufgrund eine r Weisung des Regierungsrates vom 1 2. August 2009 festgesetz t hat ( Urk. 2 S. 3). Aus dem Berechnungsblatt ergibt sich, dass sie den Markt mietwert von Fr. 20‘300. -- ermittelt hat, indem sie davon ausging, dass der</w:t>
      </w:r>
    </w:p>
    <w:p>
      <w:r>
        <w:t>Eigenmietwert von Fr. 14‘200. -- 70 % des Marktmietwertes betrage ( Urk. 2 S. 5). Da sie sich hinsichtlich der Bewertung des Autos auf den Standpunkt stellte, sie dürfe diesbezüglich dem Entscheid des hiesigen Gerichts im Verfahren Nr. ZL.2015.00074 nicht vorgreifen, war ihr Standpunkt klar, ohne dass sie in der Begründung auf die für die Bewertung anwendbaren Rechtsgrundlagen näher einzugehen brauchte. Auch wenn die Begründung teils sehr knapp geraten und nur unter Hinzuziehung des beigelegten Berechnungsblatt s nachvollziehbar ist und darin nicht eingehend zu sämtlichen in der Einsprache erhobenen Einwän den ( Urk. 8/19) Stellung genommen wird, ergibt sich daraus immerhin , welche Vorbringen die Durchführungsstelle für unzutreffend hält und weshalb .</w:t>
      </w:r>
    </w:p>
    <w:p>
      <w:r>
        <w:t>Insgesamt genügt die Begründung des angefochtenen Einspracheentscheids , wenn auch nur knapp, den gesetzlichen Mindestanforderungen. Selbst wenn von einer ( leichtgradigen ) Gehörsverletzung ausgegangen wird , ist aus verfah rensökonomischen Gründen von einer Rückweisung der Sache zur rechtsgenüg lichen Begründung an die Durchführungsstelle abzusehen, da die Beschwerde führerin mit ihren Rechtsbegehren zu erkennen gibt, dass ihr an einer materiel len möglichst beförderlichen Beurteilung ihres Anspruchs mehr liegt ( Urk. 1 S. 2) .</w:t>
      </w:r>
    </w:p>
    <w:p>
      <w:r>
        <w:t>Ihr</w:t>
      </w:r>
    </w:p>
    <w:p>
      <w:r>
        <w:t>drittes Rechtsbegehren zielt nicht auf die bei Gehörsverletzungen übliche Sanktion der Aufhebung des Einspracheentscheids und Rückweisung zur rechtsgenüglichen Begründung an die Durchführungsstelle ab, sondern auf die Feststellung einer Gehörsverletzung und gerichtliche Anweisung an die Durch führungsstelle , Verfügungen zukünftig nachvollziehbar zu begründen ( Urk. 1 S. 2 und 7) . Inwiefern ihr im Falle der Bejahung einer Gehörsverletzung dafür ein rechtserhebliches (Feststellungs-)Interesse zukommt , wird von ihr nicht begrün det und ist nicht ersichtlich (vgl. das Urteil des Bundesgerichts 8C_570/2011 vom 8. Februar 2012, E. 2). Dieser Antrag ist folglich abzuweisen.</w:t>
      </w:r>
    </w:p>
    <w:p>
      <w:r>
        <w:t>4 .</w:t>
      </w:r>
    </w:p>
    <w:p>
      <w:r>
        <w:t>4 .1</w:t>
      </w:r>
    </w:p>
    <w:p>
      <w:r>
        <w:t>Mit öffe ntlich beurkundetem Kaufvertrag vom 1 3. August 2015</w:t>
      </w:r>
    </w:p>
    <w:p>
      <w:r>
        <w:t>übertrug die Beschwerdeführerin ihr en</w:t>
      </w:r>
    </w:p>
    <w:p>
      <w:r>
        <w:t>Stockwerkeigentumsanteil an der Z.___ in der Gemeinde Y.___</w:t>
      </w:r>
    </w:p>
    <w:p>
      <w:r>
        <w:t>([Miteigentumsanteil (23/1000) an Grundbuchblatt 257, Kat. Nr. 1879 mit Sonderrecht an Wohnhaus Block C, Ziffer 6], Urk. 3/D) ihren beiden Söhnen zu Gesamteigent um infolge einfacher Gesellschaft ( Urk. 9/10 S. 1 f.). Der Kaufpreis von Fr. 367‘000.-- wurde einerseits durch ein zinsloses Dar lehen der Beschwerdeführerin an ihre Söhne in Höhe von Fr. 91‘000.--, ande rerseits durch Verrechnung mit dem</w:t>
      </w:r>
    </w:p>
    <w:p>
      <w:r>
        <w:t>kapitalisierten Wert der vertraglich zugunsten der Beschwerdeführer in vereinbarten und ins Grundbuch ein zu tra gen den lebenslänglichen Nutzniessung an der Liegenschaft im Betrag von Fr. 276‘000.--</w:t>
      </w:r>
    </w:p>
    <w:p>
      <w:r>
        <w:t>getilg t. Die Grundpfandschuld in Höhe von Fr. 200‘000.-- blieb bei der Beschwerdeführerin , ihre Söhne</w:t>
      </w:r>
    </w:p>
    <w:p>
      <w:r>
        <w:t>fungierten fortan als Drittpfandgeber</w:t>
      </w:r>
    </w:p>
    <w:p>
      <w:r>
        <w:t>( Urk. 9/ 10 S. 5, 7 und 9).</w:t>
      </w:r>
    </w:p>
    <w:p>
      <w:r>
        <w:t>Für die</w:t>
      </w:r>
    </w:p>
    <w:p>
      <w:r>
        <w:t>veräusserte Liegenschaft ermittelte die Durchführungsstelle einen Ver kehrswert von Fr. 521‘126. -- ( Urk. 2 S. 2 und 5), entsprechend dem Mittelwert zwischen dem Steuerwert von Fr. 407‘000.-- gemäss Neubewertung im Jahr 2009 ( Urk. 9/ 14 S. 4) und dem Gebäudeversicherungswert von Fr. 635‘251.-- ( Urk. 9/14 S. 3 und 5) . Hierbei handelt es sich um eine von der Rechtsprechung anerkannte Methode zur Festsetzung des Verkehrswertes von Liegenschaften ( vorstehend E. 1.2 ).</w:t>
      </w:r>
    </w:p>
    <w:p>
      <w:r>
        <w:t>Strittig und zu p rüfen ist der kapit alisierte Wert der Nutzniessung .</w:t>
      </w:r>
    </w:p>
    <w:p>
      <w:r>
        <w:t>Davon hängt ab , ob der Beschwerdeführerin wegen der Veräusserung ihrer Liegenschaft Ver zichtsvermögen anzurechnen ist. 4.2</w:t>
      </w:r>
    </w:p>
    <w:p>
      <w:r>
        <w:t>Die Durchführungsstelle ging von einem Marktmietwert des zur Nutzniessung überlassenen Reiheneinfamilienhauses mit 5,5 Zimmern ( Urk. 1 S. 5) von b rutto Fr. 20‘300.-- pro Jahr, entsprechen d</w:t>
      </w:r>
    </w:p>
    <w:p>
      <w:r>
        <w:t>Fr. 1‘691. 65 pro Monat, aus. Sie ermittelte diesen Wert auf Basis des steuerbaren Eigenmietwert s gemäss Bewertung im Jahr 2009 in Höhe von Fr. 14‘200.-- . Laut Weisung des Regierungsrates vom 1 2. August 2009 an die Steuerbehörde über die Bewertung von Liegenschaften und die Festsetzung der Eigenmietwerte ab Steuerperiode 2009 darf der steuer bare Eigenmietwert nicht über 70 % und nicht unter 60 % der Marktmiete lie gen ( Urk. 2 S. 5 ).</w:t>
      </w:r>
    </w:p>
    <w:p>
      <w:r>
        <w:t>Gestützt auf diese Weisung ging die Durchführungsstelle davon aus , dass der steuerliche Eigenmietwert von Fr. 14‘200.-- 70 % des Mar k tmietwerts au smache, und</w:t>
      </w:r>
    </w:p>
    <w:p>
      <w:r>
        <w:t>ermittelte den Marktmietwert d urch Hochrech nen des Eigenmietwerts auf 100 % ( Fr. 14‘200.-- / 70 x 100) , was aufgerundet zum eingesetzten Jahreswert von Fr. 20‘300.-- führte ( Urk. 2 S. 3 und 5).</w:t>
      </w:r>
    </w:p>
    <w:p>
      <w:r>
        <w:t>Gemäss Erhebung des Bundesamtes für Statistik belief sich der durchschnittliche Netto-Mietzins im Kanton Zürich im Jahr 201 5 für 5 Zimmer-Wohnungen auf Fr. 2‘ 152 .-- und für Wohnungen mit mindestens 6 Zimmern auf Fr. 2‘809 .-- (Bundesamt für Statistik, Durchschnittlicher Miet preis in Franken nach Zimmer zahl und Kanton 201 5 [T 0 9. 0 3. 0 3. 0 1; im Internet abrufbar] ; vgl. auch Urk. 3/E ) . Eine Internetrecherche der Beschwerdeführerin vom 1 9. Mai 2016 ergab für die Zeit ab März 2012</w:t>
      </w:r>
    </w:p>
    <w:p>
      <w:r>
        <w:t>13</w:t>
      </w:r>
    </w:p>
    <w:p>
      <w:r>
        <w:t>zur Miete ausgeschriebene Wohnungen und Einfamilien häuser mit 4,5 bis 6 ,5 Zimmern in der Gemeinde Y.___ – inklusive bau - gleiche Nachbarhäuser - mit Nettomietz insen in einem Preisbereich zwischen Fr. 2‘ 2 00 .-- und Fr. 2‘800.-- (Urk. 3/C ). Mit Blick darauf ist der von der Durch - führungs stelle ermittelte Markt mietwert von Fr. 1‘691.65 offensichtlich zu tief. Es recht fertigt sich , entsprechend dem Vorschlag der Beschwerdeführerin ( Urk. 1 S. 5 ), die Annahme eines marktkonformen monatlichen M ietzins es von Fr. 2‘300.--, was einem jährlichen Mietwert von Fr. 27‘600.-- entspricht.</w:t>
      </w:r>
    </w:p>
    <w:p>
      <w:r>
        <w:t>G e mäss Vereinbarung im Kaufvertrag hat die nutzniessungsberechtigte Beschwer deführerin die Hypothekarzinsen und die Unterhaltskosten der Li e genschaft zu übernehmen ( Urk. 9/10 S. 7) . Die jährlichen Hypothekarzinskosten belaufen sich auf</w:t>
      </w:r>
    </w:p>
    <w:p>
      <w:r>
        <w:t>Fr. 6‘77 0.-- ( Urk. 2 S. 5 und 7, Urk. 9/3- 4 ) . Hinsichtlich der Gebäudeunterhaltskosten gilt gemäss Art. 16 ELV der für die direkte kantonale Steuer im Wohnsitzkanton anwendbare Pauschalabzug</w:t>
      </w:r>
    </w:p>
    <w:p>
      <w:r>
        <w:t>( Carigiet /Koch, a.a.O., S. 170 ff.) ; im Kanton Zürich beträgt dieser gemäss der Verfügung der Finanz direktion über die Pauschal ierung</w:t>
      </w:r>
    </w:p>
    <w:p>
      <w:r>
        <w:t>der Kosten für den Unterhalt und die Ver waltung von Liegenschaften des Privatvermögens in Verbindung mit</w:t>
      </w:r>
    </w:p>
    <w:p>
      <w:r>
        <w:t>§ 30 Abs. 5 des Steuergesetzes 20 % vom Bruttoertrag. Mithin ist für den Gebäude unterhalt ein Abzug von Fr. 5‘520.-- zu berücksichtigen (20 % von Fr. 27‘600.--) . Nach Abzug der Hypothekarzinskosten und der Gebäude - unterhaltskosten ver bleibt ein Nettojahreswert von Fr. 15‘310.--.</w:t>
      </w:r>
    </w:p>
    <w:p>
      <w:r>
        <w:t>Die Beschwerdeführerin war anläss l ich der Handänderung im August 2015 ( Urk. 9/10 S. 9) 68 Jahre a lt (vgl. Urk. 9/14 S. 1) . Aus der Tabelle der Eidgenös sischen Steuerverwaltung zur Umrechnung von Kapitalleistungen in lebens längliche Renten ergibt sich für sie ein Kapitalisierungsfaktor von 19.46 ( Fr. 1000. -- :</w:t>
      </w:r>
    </w:p>
    <w:p>
      <w:r>
        <w:t>Fr. 51.38; Urk. 9/14 S. 2 ) . Wird der Nettomietwert von Fr. 15‘310.-- mit dem Kapitalisierungsfaktor von 19.46 multipliziert, ergibt sich ein Kapi talwert der Nutzniessung von Fr. 297‘ 933 .-- (vgl. auch E. 1.4). 4.3</w:t>
      </w:r>
    </w:p>
    <w:p>
      <w:r>
        <w:t>Dem Verkehrswert der Liegenschaft in Höhe von Fr. 521‘126.-- (vgl. vorstehend E. 4.1 ) steht somit eine Gegenleistung von Fr. 388‘933 .-- gegenüber ( Fr. 297‘933 .-- Nutzniessung plus zinsloses Darlehen von Fr. 91‘000.-- ). Die Differenz von Leistung und Gegenleistung in Höhe von Fr. 132‘19 3 .-- beläuft sich auf rund 25 % der Leistung. E s ist deshalb von einem entsprechenden Ver mögensverzicht auszugehen ( Urteil des Bundesgerichts P 58/00 vom 1 8. Juni 2003, E. 5 sowie vorstehend E.</w:t>
      </w:r>
    </w:p>
    <w:p>
      <w:r>
        <w:rPr>
          <w:b/>
        </w:rPr>
        <w:t>E. 8</w:t>
      </w:r>
    </w:p>
    <w:p>
      <w:r>
        <w:t>). In der Replik vom 3. Oktober 2016 hielt die Beschwerdeführerin sinngemäss an ihren</w:t>
      </w:r>
    </w:p>
    <w:p>
      <w:r>
        <w:t>Anträgen fest ( Urk.</w:t>
      </w:r>
    </w:p>
    <w:p>
      <w:r>
        <w:rPr>
          <w:b/>
        </w:rPr>
        <w:t>E. 11</w:t>
      </w:r>
    </w:p>
    <w:p>
      <w:r>
        <w:t>). Die Durch führungsstelle reichte innert der ihr angesetzten Frist keine Duplik ein (vgl. Urk. 12-1 4 ). 3.</w:t>
      </w:r>
    </w:p>
    <w:p>
      <w:r>
        <w:t>Die Gemeinde Y.___</w:t>
      </w:r>
    </w:p>
    <w:p>
      <w:r>
        <w:t>übertrug die Verwaltung der Zusatzleistungen zur AHV/IV p er 1. Januar 2017</w:t>
      </w:r>
    </w:p>
    <w:p>
      <w:r>
        <w:t>der Sozialversicherungsanstalt des Kantons Zürich (SVA; Urk.</w:t>
      </w:r>
    </w:p>
    <w:p>
      <w:r>
        <w:rPr>
          <w:b/>
        </w:rPr>
        <w:t>E. 15</w:t>
      </w:r>
    </w:p>
    <w:p>
      <w:r>
        <w:t>) , weshalb diese als Beschwerdegegnerin im Urteilszeitpunkt auf zuführen ist.</w:t>
      </w:r>
    </w:p>
    <w:p>
      <w:r>
        <w:t>Auf die weiteren Ausführungen der Parteien und die Akten ist, soweit für die</w:t>
      </w:r>
    </w:p>
    <w:p>
      <w:r>
        <w:t>Entscheidfindung</w:t>
      </w:r>
    </w:p>
    <w:p>
      <w:r>
        <w:t>erforderlich , in den Erwägungen einzugehen.</w:t>
      </w:r>
    </w:p>
    <w:p>
      <w:r>
        <w:t>Das Gericht zieht in Erwägung: 1.</w:t>
      </w:r>
    </w:p>
    <w:p>
      <w:r>
        <w:rPr>
          <w:b/>
        </w:rPr>
        <w:t>E. 17</w:t>
      </w:r>
    </w:p>
    <w:p>
      <w:r>
        <w:t>Abs. 1 ELV ist das anrechenbare Vermögen nach den Grund sätzen der Gesetzgebung über die direkte kantonale Steuer für die Bewertung des Vermögens im Wohnsitzkanton zu bewerten. Im Kanton Zürich wird das Vermögen zum Verkehrswert bewertet ( § 39 des Zürcher Steuergesetzes), was auch für private Motorfahrzeuge gilt. Deren Wertminderung beträgt nach der kantonalen Steuerpraxis pro Jahr 40 % des Restwertes ( vgl. www.steueramt.zh.ch/internet/finanzdirektion/ksta/de/steuerfragen/faq/vermoegen.html ; Urteil des Sozialversicherungsgerichts des Kantons Zürich</w:t>
      </w:r>
    </w:p>
    <w:p>
      <w:r>
        <w:t>ZL.2010.00039 vom 2 9. Juli 2011 ).</w:t>
      </w:r>
    </w:p>
    <w:p>
      <w:r>
        <w:t>5.3</w:t>
      </w:r>
    </w:p>
    <w:p>
      <w:r>
        <w:t>Das private Fahrzeug der Beschwerdeführerin</w:t>
      </w:r>
    </w:p>
    <w:p>
      <w:r>
        <w:t>(Toyota Starlet) wurde vor über</w:t>
      </w:r>
    </w:p>
    <w:p>
      <w:r>
        <w:rPr>
          <w:b/>
        </w:rPr>
        <w:t>E. 20</w:t>
      </w:r>
    </w:p>
    <w:p>
      <w:r>
        <w:t>Jahren zu einem Preis von rund Fr. 16‘00 0 .-- erworben ( Urk. 1 S. 7 f., Urk. 9/1 S. 3, Urk. 9/4 S. 1 f., Urk. 9/6 S. 4 f. ). In Anwendung der genannten Steuerpraxis ist mit der Beschwerdeführerin von einem Restwert von Null au s zugehen (vgl. auch</w:t>
      </w:r>
    </w:p>
    <w:p>
      <w:r>
        <w:t>Urk. 9/16) . 6.</w:t>
      </w:r>
    </w:p>
    <w:p>
      <w:r>
        <w:t>Nach dem Gesagten sind</w:t>
      </w:r>
    </w:p>
    <w:p>
      <w:r>
        <w:t>bei</w:t>
      </w:r>
    </w:p>
    <w:p>
      <w:r>
        <w:t>der B erechnung d es Ergänzungsleistungsanspruchs</w:t>
      </w:r>
    </w:p>
    <w:p>
      <w:r>
        <w:t>das Ver zichtsver mögen und das Vermögen wegen des Eigentums an einem Privatfahrzeug ( Urk. 2 S. 7 und 9) zu modifizieren . Gleiches gilt für die daraus abgeleiteten, als Einkommen an zurechnenden Positionen wie der Vermögens verbrauch und die Vermögenserträge (vorstehend E. 1. 2 ).</w:t>
      </w:r>
    </w:p>
    <w:p>
      <w:r>
        <w:t>Es rechtfertigt sich, die Sache in Gutheissung der Beschwerde an die Durchführungsstelle zurückzu weisen, damit sie den Ergänzungsleistung sanspruch für den massgeblichen Zeitraum August bis Dezember 2015 im Sinne der Erwägungen neu berechne und hernach erneut darüber verfüge. 7.</w:t>
      </w:r>
    </w:p>
    <w:p>
      <w:r>
        <w:t>7.1</w:t>
      </w:r>
    </w:p>
    <w:p>
      <w:r>
        <w:t>Das Verfahren vor dem Sozialversicherungsgericht ist in der Regel kostenlos ( § 33 Abs. 1 des Gesetzes über das Sozialversicherungsgericht [ GSVGer ] in Verbindung mit Art. 61 lit . a ATSG). Einer Partei, die sich mutwillig oder leichtsinnig verhält, können jedoch eine Spruchgebühr und die Verfahrenskos ten auferlegt werden ( § 33 Abs. 2 GSVGer ). 7.2</w:t>
      </w:r>
    </w:p>
    <w:p>
      <w:r>
        <w:t>Da die Beschwerdeführerin obsiegt und Anhaltspunkte für eine mutwillige Pro zessführung fehlen, besteht entgegen der Ansicht der Durchführungsstelle ( Urk. 8 S. 3) kein Anlass, ihr die Verfahrenskosten aufzuerlegen. Das Gericht erkennt: 1.</w:t>
      </w:r>
    </w:p>
    <w:p>
      <w:r>
        <w:t>In teilweiser Gutheissung der Beschwerde wird der angefochtene</w:t>
      </w:r>
    </w:p>
    <w:p>
      <w:r>
        <w:t>Einspracheentscheid</w:t>
      </w:r>
    </w:p>
    <w:p>
      <w:r>
        <w:t>vom 1 3. Mai 2016 aufgehoben, und die Sache wird an die Sozialversicherungsanstalt des Kantons Zürich, Zusatzleistungen zur AHV/IV, zurückgewiesen, damit diese im Sinne der Erwägungen verfahre und anschliessend neu über den Anspruch auf Ergän zungsleistungen für die Zeit von August bis Dezember 2015 verfüge ; im Übrigen wird die Beschwerde abgewiesen . 2.</w:t>
      </w:r>
    </w:p>
    <w:p>
      <w:r>
        <w:t>Das Verfahren ist kostenlos. 3.</w:t>
      </w:r>
    </w:p>
    <w:p>
      <w:r>
        <w:t>Zustellung gegen Empfangsschein an: - X.___ - Sozialversicherungsanstalt des Kantons Zürich, Zusatzleistungen zur AHV/IV - Bundesamt für Sozialversicherungen - Sicherheitsdirektion Kanton Zürich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GrünigKlemmt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