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ZL.2015.00053 vom 22. August 2016</w:t>
      </w:r>
    </w:p>
    <w:p>
      <w:r>
        <w:t>ZH Sozialversicherungsgericht, 2016-08-22, DE</w:t>
      </w:r>
    </w:p>
    <w:p>
      <w:r>
        <w:rPr>
          <w:b/>
        </w:rPr>
        <w:t xml:space="preserve">Quelle: </w:t>
      </w:r>
      <w:r>
        <w:t>https://mcp.opencaselaw.ch/entscheid/zh_sozialversicherungsgericht_ZL.2015.00053</w:t>
      </w:r>
    </w:p>
    <w:p>
      <w:r>
        <w:t>FR: ZH_SOZIALVERSICHERUNGSGERICHT ZL.2015.00053 du 22 août 2016</w:t>
      </w:r>
    </w:p>
    <w:p>
      <w:r>
        <w:t>IT: ZH_SOZIALVERSICHERUNGSGERICHT ZL.2015.00053 del 22 agosto 2016</w:t>
      </w:r>
    </w:p>
    <w:p>
      <w:pPr>
        <w:pStyle w:val="Heading2"/>
      </w:pPr>
      <w:r>
        <w:t>Erwägungen</w:t>
      </w:r>
    </w:p>
    <w:p>
      <w:r>
        <w:rPr>
          <w:b/>
        </w:rPr>
        <w:t>E. 1</w:t>
      </w:r>
    </w:p>
    <w:p>
      <w:r>
        <w:t>Der unter umfassender Beistandschaft stehende ( Urk. 12/V1) X.___ , geboren 1950 , hielt sich in einem Heim ( B.___ , A.___ ; vgl. Urk. 12/98) auf und bezog Ergän zungs - und Zusatz leistungen zu einer Rente der Invalidenversicherung (Urk. 12/A), als die Gemeinde A.___ , Durchführungsstelle für Zusatzleistungen zur AHV/IV, mit Verfü gung vom</w:t>
      </w:r>
    </w:p>
    <w:p>
      <w:r>
        <w:rPr>
          <w:b/>
        </w:rPr>
        <w:t>E. 1.1</w:t>
      </w:r>
    </w:p>
    <w:p>
      <w:r>
        <w:t>Gemäss Art. 2 Abs. 1 des Bundesgesetzes über Ergänzungsleistungen zur Alters , Hinterlassenen- und Invalidenversicherung (ELG) haben Personen Anspruch auf Ergänzungsleistungen, wenn sie die Voraussetzungen nach den Art. 4-6 ELG erfüllen. Dabei entspricht die jährliche Ergänzungsleistung dem Betrag, um den die anerkannten Ausga ben die anrechenbaren Einnahmen über steigen (Art. 9 Abs. 1 ELG). Die anre chenbaren Einnahmen werden nach Art. 11 ELG berech net.</w:t>
      </w:r>
    </w:p>
    <w:p>
      <w:r>
        <w:rPr>
          <w:b/>
        </w:rPr>
        <w:t>E. 1.2</w:t>
      </w:r>
    </w:p>
    <w:p>
      <w:r>
        <w:t>Zu den anrechen baren Einnahmen gehören nach Art. 11 Abs. 1 ELG :</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Bezugsjahres vorhandene Vermögen. 1. 4</w:t>
      </w:r>
    </w:p>
    <w:p>
      <w:r>
        <w:t>Gemäss Art. 10 Abs. 2 ELG werden bei Personen, die dauernd oder längere Zeit in einem Heim oder Spital leben, als Ausgaben die Tagestaxe ( lit . a) und ein vom Kanton zu bestimmender Betrag für persönliche Auslagen ( lit . b) aner kannt. Der Betrag für die persönlichen Auslagen umfasst das Taschengeld und weitere Ausgaben wie Kleider, Toilettenartikel, Zeitungen, Steuern und Ähnli ches ( Ziff. 3330.01 der Wegleitung des Bundesamtes für Sozialversicherung über die Ergänzungsleistungen zur AHV und IV, WEL) . 1.</w:t>
      </w:r>
    </w:p>
    <w:p>
      <w:r>
        <w:rPr>
          <w:b/>
        </w:rPr>
        <w:t>E. 1.7</w:t>
      </w:r>
    </w:p>
    <w:p>
      <w:r>
        <w:t>) lassen sich indes Hinweise für die von der Beschwerdegegnerin vertretene Auffassung fin den. Im Kantonsrat gab die Bestimmung von Art.</w:t>
      </w:r>
    </w:p>
    <w:p>
      <w:r>
        <w:rPr>
          <w:b/>
        </w:rPr>
        <w:t>E. 3</w:t>
      </w:r>
    </w:p>
    <w:p>
      <w:r>
        <w:t>1. August 2015 (Urk. 11/1 ) beantragte die Gemeinde A.___</w:t>
      </w:r>
    </w:p>
    <w:p>
      <w:r>
        <w:t>die Abwei sung der Beschwerde (S.</w:t>
      </w:r>
    </w:p>
    <w:p>
      <w:r>
        <w:rPr>
          <w:b/>
        </w:rPr>
        <w:t>E. 3.1</w:t>
      </w:r>
    </w:p>
    <w:p>
      <w:r>
        <w:t>Während in §</w:t>
      </w:r>
    </w:p>
    <w:p>
      <w:r>
        <w:rPr>
          <w:b/>
        </w:rPr>
        <w:t>E. 3.2</w:t>
      </w:r>
    </w:p>
    <w:p>
      <w:r>
        <w:t>Ausgangspunkt der Gesetzesauslegung ist der Wortlaut der Bestimmung (gramma tika lisches Element). Ist er klar, das heisst eindeutig und unmissver ständlich, darf vom Wortlaut nur abgewichen werden, wenn ein triftiger Grund für die Annahme besteht, der Wortlaut zie le am „ wahren Sinn", das heisst am Rechtssinn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(BGE 140 II 80 E. 2.5.3 mit Hinwei sen ; Urteil des Bundesgerichts 9C_893/2015 vom 2 0. Juni 2016 E. 4.1).</w:t>
      </w:r>
    </w:p>
    <w:p>
      <w:r>
        <w:t>Die Verordnung ist wie ein Gesetz in erster Linie aus sich selbst heraus, das heisst nach Wortlaut, Sinn und Zweck und den ihm zu Grunde liegenden Wer tungen auf der Basis einer teleologischen Verständnismethode auszulegen. Aus zurichten ist die Auslegung auf die ratio</w:t>
      </w:r>
    </w:p>
    <w:p>
      <w:r>
        <w:t>legis , die zu ermitteln dem Gericht allerdings nicht nach den subjektiven Wertvorstellungen der Richter aufgegeben ist, sondern nach den Vorgaben des Gesetzgebers. Die Auslegung des Gesetzes ist zwar nicht entscheidend historisch zu orientieren, im Grundsatz aber den 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Gesetzesmaterialien können beigezogen werden, wenn sie auf die streitige Frage eine klare Antwort geben (BGE 133 III 175 E. 3.3.1; 133 V 314 E. 4.1 ; Urteil des Bundesgerichts 1C_73/2008 vom 1. Oktober 2008 E. 5.2 ).</w:t>
      </w:r>
    </w:p>
    <w:p>
      <w:r>
        <w:rPr>
          <w:b/>
        </w:rPr>
        <w:t>E. 3.3</w:t>
      </w:r>
    </w:p>
    <w:p>
      <w:r>
        <w:t>Verwaltungsweisungen richten sich grundsätzlich nur an die Durchführungs 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 halten. Dadurch trägt es dem Bestreben der Verwaltung Rechnung, durch interne Weisungen eine rechtsgleiche Gesetzesanwendung zu gewährleisten (BGE 138 V 346 E. 6.2 S. 362; 137 V 1 E.</w:t>
      </w:r>
    </w:p>
    <w:p>
      <w:r>
        <w:t>5.2.3; 133 V 257 E. 3.2</w:t>
      </w:r>
    </w:p>
    <w:p>
      <w:r>
        <w:t>mit Hinwei sen). Auf dem Wege von Verwaltungs weisungen dürfen indes keine über Gesetz und Verordnung hinausgehenden Einschränkungen eines materiellen Rechts anspruchs eingefüh rt werden (BGE 132 V 121 E. 4.4 ).</w:t>
      </w:r>
    </w:p>
    <w:p>
      <w:r>
        <w:rPr>
          <w:b/>
        </w:rPr>
        <w:t>E. 3.4</w:t>
      </w:r>
    </w:p>
    <w:p>
      <w:r>
        <w:t>Der Wortlaut des Begriffs „nach den persönlichen Bedürfnissen“ von § 2 ZLV ist vorliegend nicht eindeutig. Insbesondere lässt sich daraus nicht zweifelsfrei entnehmen, ob der Begriff der persönlichen Bedürfnisse lediglich im Sinne eines Verwendungsbedarfs beziehungsweise eines Verlangens oder Wunsch es nach persönlichen Auslagen wie Kleider, Toilettenartikel, Zeitungen, Steuern und Ähnlichem</w:t>
      </w:r>
    </w:p>
    <w:p>
      <w:r>
        <w:t>zu verstehen ist oder ob dieser Begriff im Sinne eines Bedürfnisses nach gewissen Auslagen, welches nur bei bescheidenen wirtschaftlichen Ver hältnisses beziehungsweise einem geringen Vermögen zu bejahen wäre, zu ver stehen ist. 3. 5</w:t>
      </w:r>
    </w:p>
    <w:p>
      <w:r>
        <w:t>Unter dem Gesichtspunkt der Gesetzessystematik gilt es zu berücksichtigen, dass Art. 10 ELG, der in Abs. 2 lit . b den Kantonen die Kompetenz einräumt , den Betrag für persönliche Ausgaben zu bestimmen, unter dem Titel „Anerkannte Ausgaben“ figuriert. D er Betrag für</w:t>
      </w:r>
    </w:p>
    <w:p>
      <w:r>
        <w:t>persönliche Ausgaben im Sinne von Art. 10 Abs. 2 lit . b ELG ist daher Teil der anerkannten Ausgaben, wobei der Überschuss der anerkannten Ausgaben über die anrechenbaren Einnahmen der jährliche n</w:t>
      </w:r>
    </w:p>
    <w:p>
      <w:r>
        <w:t>Ergänzungsleistung entspricht ( vgl. Art. 9 Abs. 1 ELG). Demgegenüber wird den E L -Beziehenden ihr Vermögen im Rahmen des Vermögensverzehrs ( Art.</w:t>
      </w:r>
    </w:p>
    <w:p>
      <w:r>
        <w:rPr>
          <w:b/>
        </w:rPr>
        <w:t>E. 3.6</w:t>
      </w:r>
    </w:p>
    <w:p>
      <w:r>
        <w:t>Schliesslich lassen sich auch den Gesetzesmaterialien keine Hinweise ent nehmen, dass der Verordnungsgeber eine Bemessung des als anerkannte Ausga ben zu berücksichtigen Betrag s für persönliche Auslagen bei Heimaufenthalt auf Grund des Vermögens der EL-Beziehenden beabsichtigt hätte . Dies ist umso weniger anzunehmen, als eine Bemessung der persönlichen Auslagen von Per sonen, die dauernd oder längere Zeit im Spital leben, anhand ihres Vermögens, bei diesen Personen zu einer doppelten Anrechnung des Vermögens führte, was für diese im Vergleich zu Personen, die zu Hause leben, im Ergebnis eine Ver schlechterung darstellte. Weder in der Weisung des Regierungsrats zur Ände rung des ZLG vom 1. Oktober 2007 noch in der Begründung des Regierungs ra tes für den Erlass der ZLV vom 5. März 2008 (vorstehend E.</w:t>
      </w:r>
    </w:p>
    <w:p>
      <w:r>
        <w:rPr>
          <w:b/>
        </w:rPr>
        <w:t>E. 5</w:t>
      </w:r>
    </w:p>
    <w:p>
      <w:r>
        <w:t>Der Kanton Zürich hat von der ihm in Art. 1 0</w:t>
      </w:r>
    </w:p>
    <w:p>
      <w:r>
        <w:t>Abs. 2 lit . b ELG eingeräumten Kompetenz mit Erlass von § 11 Abs. 2 des Zusatzleistungsgesetz es (ZLG ) Gebrauch gemacht. Gemäss dieser Bestimmung wird für persönliche Auslagen nach Art.</w:t>
      </w:r>
    </w:p>
    <w:p>
      <w:r>
        <w:rPr>
          <w:b/>
        </w:rPr>
        <w:t>E. 10</w:t>
      </w:r>
    </w:p>
    <w:p>
      <w:r>
        <w:t>Abs. 1 lit . a Ziff. 1 ELG anerkann t.</w:t>
      </w:r>
    </w:p>
    <w:p>
      <w:r>
        <w:t>Die Bestimmung von §</w:t>
      </w:r>
    </w:p>
    <w:p>
      <w:r>
        <w:rPr>
          <w:b/>
        </w:rPr>
        <w:t>E. 11</w:t>
      </w:r>
    </w:p>
    <w:p>
      <w:r>
        <w:t>Abs. 2 ZLG und § 2 ZLV festgesetzt hat, erscheint der angefochtene E insprachee ntscheid</w:t>
      </w:r>
    </w:p>
    <w:p>
      <w:r>
        <w:t>daher als rechtswidrig .</w:t>
      </w:r>
    </w:p>
    <w:p>
      <w:r>
        <w:t>Die Sache ist daher in Gutheissung der Beschwerde an die Beschwerdegegnerin zurückzuweisen, damit sie den Sachverhalt hinsichtlich der konkrete n , indivi du elle n</w:t>
      </w:r>
    </w:p>
    <w:p>
      <w:r>
        <w:t>Bedürfnisse des Beschwerdeführe r s für persönliche Auslagen im Sinne von § 2 ZLV ergänzend abkläre , den Betrag für persönliche Auslagen bei Heim au fenthalt neu bemesse und anschliessend über den Leistungsanspruch des Beschwerdeführe r s für die Zeit vom 1. Januar bis 3 1. Dezember 2014 und für die Zeit ab 1. Januar 2015 neu verfüge. 6 .</w:t>
      </w:r>
    </w:p>
    <w:p>
      <w:r>
        <w:t>6 .1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6 .2</w:t>
      </w:r>
    </w:p>
    <w:p>
      <w:r>
        <w:t>Ausgangsgemäss hat der Beschwerdeführer Anspruch auf eine Pro zessent schädi gung , welche in Berücksichtigung der Bedeutung der Streitsache und der Schwierig keit des Prozesses, bei einem praxisgemässen Stundenansatz von Fr. 220.--, zuzüglich Barauslagen und Mehr wertsteuer, mit Fr. 2‘800.-- (inklu sive Barauslagen und Mehr wert steuer) zu bemessen ist. Die Einzelrichterin erkennt: 1.</w:t>
      </w:r>
    </w:p>
    <w:p>
      <w:r>
        <w:t>Die Beschwerde wird in dem Sinne gutgeheissen, dass der angefochtene Einsprache entscheid vom 1 8. Mai 2015 aufgehoben und die Sache an die Gemeinde A.___ , Durchführungsstelle für Zusatzleistungen zur AHV/ IV , zurückgewiesen wird, damit diese, nach erfolgter Abklärung im Sinne der Erwäg un gen, über den Leistungs anspruch des Beschwerdeführers für die Zeit vom 1. Januar bis 3 1. Dezember 2014 und für die Zeit ab 1. Januar 2015 neu verfüge. 2.</w:t>
      </w:r>
    </w:p>
    <w:p>
      <w:r>
        <w:t>Das Verfahren ist kostenlos. 3.</w:t>
      </w:r>
    </w:p>
    <w:p>
      <w:r>
        <w:t>Die Beschwerdegegnerin wird verpflichtet, dem Beschwerdeführer eine Prozessent schä digung von Fr. 2‘800 .-- (inklusive Barauslagen und M ehrwertsteuer ) zu bezahlen. 4.</w:t>
      </w:r>
    </w:p>
    <w:p>
      <w:r>
        <w:t>Zustellung gegen Empfangsschein an: - Rechtsanwältin Petra Oehmke - Gemeinde A.___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