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ZL.2015.00042 vom 4. August 2016</w:t>
      </w:r>
    </w:p>
    <w:p>
      <w:r>
        <w:t>ZH Sozialversicherungsgericht, 2016-08-04, DE</w:t>
      </w:r>
    </w:p>
    <w:p>
      <w:r>
        <w:rPr>
          <w:b/>
        </w:rPr>
        <w:t xml:space="preserve">Quelle: </w:t>
      </w:r>
      <w:r>
        <w:t>https://mcp.opencaselaw.ch/entscheid/zh_sozialversicherungsgericht_ZL.2015.00042</w:t>
      </w:r>
    </w:p>
    <w:p>
      <w:r>
        <w:t>FR: ZH_SOZIALVERSICHERUNGSGERICHT ZL.2015.00042 du 4 août 2016</w:t>
      </w:r>
    </w:p>
    <w:p>
      <w:r>
        <w:t>IT: ZH_SOZIALVERSICHERUNGSGERICHT ZL.2015.00042 del 4 agosto 2016</w:t>
      </w:r>
    </w:p>
    <w:p>
      <w:pPr>
        <w:pStyle w:val="Heading2"/>
      </w:pPr>
      <w:r>
        <w:t>Erwägungen</w:t>
      </w:r>
    </w:p>
    <w:p>
      <w:r>
        <w:rPr>
          <w:b/>
        </w:rPr>
        <w:t>E. 1</w:t>
      </w:r>
    </w:p>
    <w:p>
      <w:r>
        <w:t>X.___ , geboren 1939, bezieht seit Januar 2003 eine ordentli che Rente der AHV sowie eine BVG-Rente (vgl. Urk. 7/</w:t>
      </w:r>
    </w:p>
    <w:p>
      <w:r>
        <w:rPr>
          <w:b/>
        </w:rPr>
        <w:t>E. 1.1</w:t>
      </w:r>
    </w:p>
    <w:p>
      <w:r>
        <w:t>Da der Streitwert Fr. 20’000.-- nicht übersteigt, fällt die Beurteilung der Be - schwerde in die einzelrichterliche Zuständigkeit (§ 11 Abs. 1 des Gesetzes über das Sozialversicherungsgericht).</w:t>
      </w:r>
    </w:p>
    <w:p>
      <w:r>
        <w:rPr>
          <w:b/>
        </w:rPr>
        <w:t>E. 1.2</w:t>
      </w:r>
    </w:p>
    <w:p>
      <w:r>
        <w:t>Gemäss Art. 2 Abs. 1 des Bundesgesetzes über Ergänzungsleistungen zur Al ters , Hinterlassenen- und Invalidenversicherung (ELG) haben Personen An spruch auf Ergänzungsleistungen</w:t>
      </w:r>
    </w:p>
    <w:p>
      <w:r>
        <w:t>zur Deckung ihres Existenzbedarfs , wenn sie die Vo raus setzungen nach den Art. 4-6 ELG erfüllen.</w:t>
      </w:r>
    </w:p>
    <w:p>
      <w:r>
        <w:t>Die Ergänzungsleistungen bestehen aus der jährlichen Ergänzungsleistung, wel che monatlich ausbezahlt wird (Art. 3 Abs. 1 lit . a ELG), und aus der Vergütung von Krankheits- und Behinderungskosten (Art. 3 Abs. 1 lit . b ELG). Die jährliche Ergänzungsleistung hat dem Betrag zu entsprechen, um den die anerkannten Ausgaben die anrechenbaren Einnahmen übersteigen (Art. 9 Abs. 1 ELG).</w:t>
      </w:r>
    </w:p>
    <w:p>
      <w:r>
        <w:rPr>
          <w:b/>
        </w:rPr>
        <w:t>E. 1.3</w:t>
      </w:r>
    </w:p>
    <w:p>
      <w:r>
        <w:t>Als Einnahmen anzurechnen sind nebst den Erwerbseinkünften in Geld oder Na tu ralien (Art. 11 Abs. 1 lit . a ELG) Einkünfte aus beweglichem oder unbe weg lichem Vermögen (Art. 11 Abs. 1 lit . b ELG), Renten und Pensionen sowie an dere wiederkehrende Leistungen, einschliess lich Renten der AHV und IV (Art. 11 Abs. 1 lit . d ELG ), ein Fünfzehntel des Reinvermögens, soweit es bei alleinste henden Personen Fr. 37'500.- übersteigt (Art. 11 Abs. 1 lit . c ELG) und gemäss Art. 11 Abs. 1 lit . g ELG auch die Einkünfte und Vermö genswerte, auf die die ansprechende Person verzichtet hat (vgl. auch Rz 3411.01 der Wegleitung des Bundesamtes für Sozialversicherungen über die Er gänzungsleistungen zur AHV und IV; WEL).</w:t>
      </w:r>
    </w:p>
    <w:p>
      <w:r>
        <w:t>Als anerkannte Ausgaben gelten bei Personen, die zu Hause wohnen, ein Betrag für den allgemeinen Lebensbedarf (Art. 10 Abs. 1 lit . a ELG), der Mietzins einer Wohnung und die damit zusammenhängenden Nebenkosten (Art. 10 Abs. 1 lit . b ELG) sowie die zu entrichtenden Beiträge an die Sozialversicherungen des Bundes (Art. 10 Abs. 3 lit . c ELG) und ein jährlicher Pauschalbetrag für die ob ligatorische Krankenpflegeversicherung (Art. 10 Abs. 3 lit . c und d ELG).</w:t>
      </w:r>
    </w:p>
    <w:p>
      <w:r>
        <w:rPr>
          <w:b/>
        </w:rPr>
        <w:t>E. 1.4</w:t>
      </w:r>
    </w:p>
    <w:p>
      <w:r>
        <w:t>Gemäss §§ 15 und 19a Abs. 3 des Gesetzes über die Zusatzleistungen zur eidge nössischen Alters-, Hinterlassenen- und Invalidenversicherung (ZLG) finden die Vorschriften, die für die jährliche Ergänzungsleistung nach Art. 9 ff. ELG gel ten, entsprechende Anwendung auf die Beihilfen und Zuschüsse, soweit im ZLG nichts Abweichendes bestimmt ist. 2.</w:t>
      </w:r>
    </w:p>
    <w:p>
      <w:r>
        <w:t>2.1</w:t>
      </w:r>
    </w:p>
    <w:p>
      <w:r>
        <w:t>Die Durchführungsstelle ging im angefochtenen Entscheid davon aus, dass eine Mietzinsaufteilung vorzunehmen sei, zumal die Mietzinsanteile der Personen, welche nicht in der Berechnung der Ergänzungsleistungen eingeschlossen seien, bei der Berechnung ausser Betracht zu lassen seien. Aufgrund des Zuzugs des Sohnes per September 2014 sei nur noch die Hä lfte des Mietzinses als Ausgabe anzu rechnen (Urk. 2, Urk. 6). 2.2</w:t>
      </w:r>
    </w:p>
    <w:p>
      <w:r>
        <w:t>Dem hält die Beschwerdeführerin sinngemäss entgegen, der Anspruch auf Zusatz leistungen basiere auf dem Einkommen minus d en Ausgaben und sei be reits vor dem Einzug des Sohnes bewilligt gewesen. Ihr Sohn habe das Vermö gen nicht belastet. Ausserdem habe er per Mai 2015 wieder eine Festanstellung gefunden und werde auch nicht mehr an ihrem Vermögensverzehr partizipieren ( Urk. 1) . 3. 3.1</w:t>
      </w:r>
    </w:p>
    <w:p>
      <w:r>
        <w:t>In Bezug auf die Zusatzleistungen</w:t>
      </w:r>
    </w:p>
    <w:p>
      <w:r>
        <w:t>ab 1. September 2014 , we lche den Streit - gegen stand bilden , ist einzig die Höhe der bei den anerkannten Ausgaben an zurechnenden Miete ange fochten . Die übrigen Positionen der EL-Berechnung sind nicht bestritten. Es besteht denn auch kein Anlass zu einer näheren Prü fung von Am tes wegen (vgl. Urteil des Bundesgerichts P 42/06 vom 2. No - vember 2006 E . 2 mit Hinweisen).</w:t>
      </w:r>
    </w:p>
    <w:p>
      <w:r>
        <w:t>3.2</w:t>
      </w:r>
    </w:p>
    <w:p>
      <w:r>
        <w:t>Werden Wohnungen oder Einfamilienhäuser auch von Personen bewohnt, wel che nicht in die EL-Berechnung eingeschlossen sind, so ist der Mietzins auf die einzelnen Personen aufzuteilen.</w:t>
      </w:r>
    </w:p>
    <w:p>
      <w:r>
        <w:t>Die Mietzinsanteile der Personen, welche nicht in die EL-Berechnung eingeschlos sen sind, werden bei der Berechnung der jährlichen Ergänzungsleis tung ausser Betracht gelassen. Die Aufteilung hat grundsätzlich zu gl eichen Teilen zu erfolgen (Art. 16c ELV). Unter diese Rege lung fallen auch die mit dem Mietzins der Wohnung oder des Einfamilienhauses zusammenhäng enden Ne benkosten nach Art. 10 Abs. 1 lit . b erster Satz ELG (vgl. BGE 127 V 10 E. 6b zum gleichlautenden Art. 3b Abs. 1 lit .</w:t>
      </w:r>
    </w:p>
    <w:p>
      <w:r>
        <w:t>b erster Satz des bis Ende 2007 gültig gewesenen ELG vom 1 9. März 1965).</w:t>
      </w:r>
    </w:p>
    <w:p>
      <w:r>
        <w:t>Ein Abweichen von dieser Grundregel, welche die indirekte Mitfinanzierung von Personen, die nicht in die Ergänzungsleistungsrechnung eingeschlossen sind, verhindert, ist nur in engen Grenzen zugelassen,</w:t>
      </w:r>
    </w:p>
    <w:p>
      <w:r>
        <w:t>s o vor allem wenn die Auftei lung des Gesamtmietzinses nach Köpfen im Einzelfall zu einem stossenden Er gebnis f ühren würde (BGE 127 V 10 E. 5d; AHI 1998 S. 34; vgl. auch Cari giet /Koch, Ergän zungsleistungen zur AHV/IV, 2. Aufl age, Zürich Basel Genf 2009, S. 139). 3.3</w:t>
      </w:r>
    </w:p>
    <w:p>
      <w:r>
        <w:t>Anlässlich der periodischen Überprüfung der Zusa tzleistungen im Jahr 2015 wies die Beschwerdeführerin mit Schreiben vom 9. April 2015 ( Urk. 7/79) erst mals darauf hin, dass ihr Sohn seit dem 1. September 2014 zusammen mit ihr in ihrem Haushalt wohne. 3.4</w:t>
      </w:r>
    </w:p>
    <w:p>
      <w:r>
        <w:t>Die Beschwerdegegnerin ging somit bezüglich der anrechenbaren Ausgaben für den Mietzins in Anwendung der genannten Bestimmungen zu Recht davon aus, dass nicht mehr die gesamte Miete bei den Ausgaben zu berücksichtigen sei, und schied eine Hälfte der Mietkosten als Anteil des Mitbe wohners ( Sohn ) aus.</w:t>
      </w:r>
    </w:p>
    <w:p>
      <w:r>
        <w:t>Der Sohn de r Beschwerdeführer in wohnt seit September 201 4 zusammen mit der Beschwerdeführer in in deren Mietwohnung (vgl. Urk. 7/18) . Die Wohn - ausga ben sind bei dieser Sachlage zu gleichen Teilen (Art. 16c Abs. 2 ELV) aufzutei len und nach dem Gesagten mit der</w:t>
      </w:r>
    </w:p>
    <w:p>
      <w:r>
        <w:t>Hälfte in der EL-Berech nung zu berück sichtigen.</w:t>
      </w:r>
    </w:p>
    <w:p>
      <w:r>
        <w:t>Die Ausführungen de r Beschwerdeführer in , wonach der Anspruch bereits vor dem Einzug des Sohnes bewilligt worden sei und er ihr Vermögen nicht angetastet habe, vermögen daran nichts zu ändern. So kann auch nicht einfach unter dem Titel der Verwandtenunterstützung die geset zliche Regelung umgangen werden , insbesondere auch weil - wie die Beschwerdegeg nerin richtig ausführte – nur diejenigen Verwandten unterstützungspflichtig sind, die in günstigen Verhältnissen leben, was bei einer Bezügerin von Beihil fen nicht der Fall ist. Ansonsten könnten Personen, die nicht in die Ergän zungs leistungs rechnung eingeschlossen sind, ohne weiteres indirekt über die Ergänzungs leistungen mitfinanziert werden (vgl. auch vorstehend E. 3.2). 3.5</w:t>
      </w:r>
    </w:p>
    <w:p>
      <w:r>
        <w:t>Von</w:t>
      </w:r>
    </w:p>
    <w:p>
      <w:r>
        <w:t>der Beschwerdeführer in nicht bestritten wurde, dass sie als Bezüger in von Zusatz leistungen verpflichtet gewesen wäre, die Aufnahme ihres So h nes in ihren Haushalt z u melden. Auf die unverzügliche Meldung solcher Veränderungen des Sachverhalts wurde in den jeweiligen Leistungs verfügungen stets hingewiesen (vgl. Urk. 7/ 55-56 ). I m Merkblatt bezüglich Meldepflicht, von der Beschwerde führerin am 1 7. Juni 2014 unterzeichnet ( Urk. 7/9), wurde sodann gar explizit die Veränderungen der Anzahl Mitbewohner als Beispiel meldepflichtiger Sach verhalte aufgenom men. Ebenso wurde jeweils auf die Konsequenzen einer Mel depflichtverletzung hin gewiesen. 3.6</w:t>
      </w:r>
    </w:p>
    <w:p>
      <w:r>
        <w:t>Nach dem Gesagten ist nicht zu beanstanden, dass die Beschwerdegegnerin die Mietzinskosten für die Zeit ab September 2014 nur anteilsmässig in der An spruchsberechnung der Beschwerde führerin berücksich tigt hat.</w:t>
      </w:r>
    </w:p>
    <w:p>
      <w:r>
        <w:t>Zusammenfassend ist die Ermittlung der Zusatzleistungen gemäss Verfügung vom 28 . April 201 5 , bestätigt durch den Einspracheentscheid vom 5 . Mai 2015 (Urk. 2), nicht zu beanstanden, weshalb die Beschwerde abzuweisen ist. 4. 4.1</w:t>
      </w:r>
    </w:p>
    <w:p>
      <w:r>
        <w:t>Über eine Rückfor derung ( Art. 25 Abs. 1 Satz 1 ATSG) und gegebenenfalls den Erlass derselben ( Art. 25 Abs. 1 Satz 2 ATSG) wird in der Regeln in zwei Schritten verfügt ( Art. 3 und 4 ATSV). Enthalten die Eingaben der Anspruchs berechtigten sowohl Elemente betreffend Rückforderung als auch betreffend Erlassgesuch, so muss zuerst über die Rechtmässigkeit der ergangenen Rückfor derung entschieden werden. Erst wenn die Rückerstattungsverfügung rechts kräftig ist, kann über das Erlassgesuch befunden werden ( Carigiet /Koch, a.a.O., S. 98 und S. 104; Urteile des Bundesgerichts P 62/04 vom 6. Juni 2005 E. 1.2 und 9C_53/2014 vom 2 0. August 2014 E. 1). 4.2</w:t>
      </w:r>
    </w:p>
    <w:p>
      <w:r>
        <w:t>Vorliegend wies die Beschwerdegegnerin in der Einstellungs- und Rücker stat tungsverfügung vom 2 8. April 201 5 ( Urk. 7/ 59-61 ) auf die Möglichkeit hin, in nert dreissig Tagen nach Rechtskraft der Verfügung ein Erlassgesuch zu stellen . Mit der daraufhin eingereichten Einsprache vom 3. Mai 201 5 (Urk. 7/ 80 ) for derte die Beschwerdeführerin</w:t>
      </w:r>
    </w:p>
    <w:p>
      <w:r>
        <w:t>sinngemäss</w:t>
      </w:r>
    </w:p>
    <w:p>
      <w:r>
        <w:t>auch den Verzicht auf die Rück for derung (S. 1 Satz 2) . Zu den Voraussetzungen eines all fälligen Erlasses nahm die Beschwerdegegnerin – korrekterweise –</w:t>
      </w:r>
    </w:p>
    <w:p>
      <w:r>
        <w:t>noch keine Stellung. Eine Beurtei lung eines allfälligen Gesuch s um Erlass der Rückfor derung wäre vorliegend mit dem Einspracheentscheid zu früh erfolgt. 4 . 3</w:t>
      </w:r>
    </w:p>
    <w:p>
      <w:r>
        <w:t>Das von der Beschwerdeführerin</w:t>
      </w:r>
    </w:p>
    <w:p>
      <w:r>
        <w:t>sinngemäss gestellte Erlassgesuch ist erst nach Ein tritt der Rechtskraft der Einstellungs- und Rückerstattungsverfügung zu prüfen. Das Gericht erkennt: 1.</w:t>
      </w:r>
    </w:p>
    <w:p>
      <w:r>
        <w:t>Die Beschwerde wird abgewiesen. 2.</w:t>
      </w:r>
    </w:p>
    <w:p>
      <w:r>
        <w:t>Das Verfahren ist kostenlos. 3.</w:t>
      </w:r>
    </w:p>
    <w:p>
      <w:r>
        <w:t>Zustellung gegen Empfangsschein an: - X.___ - Stadt Y. ___ , Durchführungsstelle für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EinzelrichterDie Gerichtsschreiberin MosimannSchüpbach</w:t>
      </w:r>
    </w:p>
    <w:p>
      <w:r>
        <w:rPr>
          <w:b/>
        </w:rPr>
        <w:t>E. 5</w:t>
      </w:r>
    </w:p>
    <w:p>
      <w:r>
        <w:t>Ziff.</w:t>
      </w:r>
    </w:p>
    <w:p>
      <w:r>
        <w:rPr>
          <w:b/>
        </w:rPr>
        <w:t>E. 8</w:t>
      </w:r>
    </w:p>
    <w:p>
      <w:r>
        <w:t>). Der Einzelrichter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