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ZL.2014.00102 vom 30. Mai 2016</w:t>
      </w:r>
    </w:p>
    <w:p>
      <w:r>
        <w:t>ZH Sozialversicherungsgericht, 2016-05-30, DE</w:t>
      </w:r>
    </w:p>
    <w:p>
      <w:r>
        <w:rPr>
          <w:b/>
        </w:rPr>
        <w:t xml:space="preserve">Quelle: </w:t>
      </w:r>
      <w:r>
        <w:t>https://mcp.opencaselaw.ch/entscheid/zh_sozialversicherungsgericht_ZL.2014.00102</w:t>
      </w:r>
    </w:p>
    <w:p>
      <w:r>
        <w:t>FR: ZH_SOZIALVERSICHERUNGSGERICHT ZL.2014.00102 du 30 mai 2016</w:t>
      </w:r>
    </w:p>
    <w:p>
      <w:r>
        <w:t>IT: ZH_SOZIALVERSICHERUNGSGERICHT ZL.2014.00102 del 30 maggio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wurde n mit Verfügung vom 1 5. Mai 2013 ab April 2010 Zusatzleistungen zur Rente der Invalidenversicherung zugesprochen ( Urk. 6/90). Mit in Rechtskraft erwachsener Verfügung vom 2 5. Juni 2013 forderte die Sozialversicherungsanstalt des Kantons Zürich, Ausgleichskasse, die irrtümlich di rekt an den Versicherten ausgerichteten Zusatzleistungen im Umfang von Fr. 90‘631.-- zurück ( Urk. 6/86).</w:t>
      </w:r>
    </w:p>
    <w:p>
      <w:r>
        <w:t>Am 9. August 2013 ersuchte der Versicherte um Erlass des ausstehenden Teils der Rückforderung in der Höhe von Fr. 59‘841.-- ( Urk. 6/80/2 = Urk. 3/3), was d ie Ausgleichskasse mangels guten Glauben s mit Verfügung vom 2 5. Juli 2014 ab lehnte ( Urk. 6/27 = Urk. 3/1 ). Die dagegen erhobene Einsprache vom 1 5. Septem ber 2014 ( Urk. 6/21) wies die Ausgleichskasse mit Einspracheent scheid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