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ZL.2014.00078 vom 31. März 2015</w:t>
      </w:r>
    </w:p>
    <w:p>
      <w:r>
        <w:t>ZH Sozialversicherungsgericht, 2015-03-31, DE</w:t>
      </w:r>
    </w:p>
    <w:p>
      <w:r>
        <w:rPr>
          <w:b/>
        </w:rPr>
        <w:t xml:space="preserve">Quelle: </w:t>
      </w:r>
      <w:r>
        <w:t>https://mcp.opencaselaw.ch/entscheid/zh_sozialversicherungsgericht_ZL.2014.00078</w:t>
      </w:r>
    </w:p>
    <w:p>
      <w:r>
        <w:t>FR: ZH_SOZIALVERSICHERUNGSGERICHT ZL.2014.00078 du 31 mars 2015</w:t>
      </w:r>
    </w:p>
    <w:p>
      <w:r>
        <w:t>IT: ZH_SOZIALVERSICHERUNGSGERICHT ZL.2014.00078 del 31 marzo 2015</w:t>
      </w:r>
    </w:p>
    <w:p>
      <w:pPr>
        <w:pStyle w:val="Heading2"/>
      </w:pPr>
      <w:r>
        <w:t>Erwägungen</w:t>
      </w:r>
    </w:p>
    <w:p>
      <w:r>
        <w:rPr>
          <w:b/>
        </w:rPr>
        <w:t>E. 1.1</w:t>
      </w:r>
    </w:p>
    <w:p>
      <w:r>
        <w:t>Gemäss Art. 9 Abs. 1 der ab 1. Januar 2008 gültigen Fassung des Bundesgeset zes</w:t>
      </w:r>
    </w:p>
    <w:p>
      <w:r>
        <w:t>über Ergänzungsleistungen zur Alters-, Hinterlassenen- und Invalidenversi che rung (ELG) entspricht die jährliche Ergänzungsleistung dem Betrag, um den die anerkannten Ausgaben die anrechenbaren Einnahmen übersteigen. Die aner kan n ten Ausgaben und anrechenbaren Einnahmen von Ehegatten sind ge stützt auf Art. 9 Abs. 2 ELG zusammenzurechnen.</w:t>
      </w:r>
    </w:p>
    <w:p>
      <w:r>
        <w:rPr>
          <w:b/>
        </w:rPr>
        <w:t>E. 1.2</w:t>
      </w:r>
    </w:p>
    <w:p>
      <w:r>
        <w:t>Die anerkannten Ausgaben sind in Art. 10 ELG, die anrechenbaren Einnahmen in Art. 11 ELG aufgelistet.</w:t>
      </w:r>
    </w:p>
    <w:p>
      <w:r>
        <w:t>Als Einnahmen angerechnet werden nach Art. 11 Abs. 1 ELG unter anderem zwei</w:t>
      </w:r>
    </w:p>
    <w:p>
      <w:r>
        <w:t>Drittel der Erwerbseinkünfte, soweit sie e inen Freibetrag von Fr. 1'000.-- (Allein stehende) beziehungsweise von Fr. 1'500.-- (Ehepaare und Personen mit Kindern) übersteigen ( lit . a), ein Prozentsatz des Vermögens ( lit . c), die Renten ( lit . d) so wie auch Einkünfte und Vermögenswerte, auf die verzichtet worden ist ( lit . g). Die letztgenannte Vorschrift stellt eine Konkretisierung des allgemeinen, im ge samten Sozialversicherungsrecht massgebenden Grundsatzes der Scha den minde rungspflicht dar (vgl. Carigiet /Koch, Ergänzungsleistungen zur AHV/IV, 2. Auf lage , Zürich</w:t>
      </w:r>
    </w:p>
    <w:p>
      <w:r>
        <w:t>2009, S.</w:t>
      </w:r>
    </w:p>
    <w:p>
      <w:r>
        <w:t>151 mit Hinweis auf das Urteil des Bundes gerichts 8C_380/2008 vom 17. September 2008).</w:t>
      </w:r>
    </w:p>
    <w:p>
      <w:r>
        <w:rPr>
          <w:b/>
        </w:rPr>
        <w:t>E. 1.3</w:t>
      </w:r>
    </w:p>
    <w:p>
      <w:r>
        <w:t>Nach der Rechtsprechung liegt eine Verzichtshandlung dann vor, wenn die a n spruchsberechtigte Person ohne rechtliche Verpflichtung und ohne adäquate Ge genleistung auf Einkünfte oder Vermögen verzichtet hat , wobei diese beiden Voraussetzungen nicht kumulativ, sondern alternativ zu verstehen sind (BGE 131 V 329).</w:t>
      </w:r>
    </w:p>
    <w:p>
      <w:r>
        <w:t>Für die Beurteilung der Frage, ob ein Vermögensverzicht vorliegt beziehungs weise</w:t>
      </w:r>
    </w:p>
    <w:p>
      <w:r>
        <w:t>ob eine adäquate Gegenleistung für das hingegebene Vermögen erbracht worden ist, ist rechtsprechungsgemäss auf das Verhältnis zwischen Leistung und</w:t>
      </w:r>
    </w:p>
    <w:p>
      <w:r>
        <w:t>Gegenleistung zur Zeit der Entäusserung des entsprechenden Vermögens bestand teils abzustellen; massgebend sind somit die Werte zu jener Zeit. Die Ermittlung dieser Werte hat jedoch nach den Normen zu erfolgen, die zur Zeit der Bean spruchung der Zusatzleistungen gelten; es handelt sich bei diesem Grundsatz um eine sogenannte unechte Rückwirkung (Urteil des Bundesgerichts 8C_849/2008 vom 16. Juni 2009, E. 6.3.1 und E. 6.3.2).</w:t>
      </w:r>
    </w:p>
    <w:p>
      <w:r>
        <w:t>Nach Art. 17 Abs. 1 der Verordnung über die Ergänzungsleistungen zur Alters-, Hinterlassenen- und Invalidenversicherung (ELV) in der Fassung ab dem 1. Jan u a r 2008 ist das anrechenbare Vermögen nach den Grundsätzen der Ge setzgeb ung über die direkte kantonale Steuer für die Be wertung des Vermögens im Wohnsitzkanton zu bewerten. Dienen Grundstücke dem Bezüger oder einer Person, die in der EL-Berechnung eingeschlossen ist, nicht zu eigenen Wohnzwe cken , so sind diese nach Art. 17 Abs. 4 ELV zum Ver kehrswert einzusetzen. Bei der entgeltlichen oder unentgeltlichen Entäusse rung eines Grundstückes ist nach Art. 17 Abs. 5 Satz 1 ELV der Verkehrswert massgebend für die Prüfung, ob ein Vermögensverzicht im Sinne von Art. 11 Abs. 1 lit . g ELG vorliegt. Nach Art. 17 Abs. 5 Satz 2 ELV gelangt der Ver kehrs wert nicht zur Anwendung, wenn von Gesetzes wegen ein Rechtsanspruch auf den Erwerb zu einem tieferen Wert be steht. Gemäss Art. 17 Abs. 6 ELV können die Kantone anstelle des Ver kehrs wertes einheitlich den für die interkantonale Steuerausscheidung massge benden Repa r ti tionswert anwenden. Der Kanton Zürich macht indessen von dieser Befugnis keinen Gebrauch (vgl. die Weisungen und Informationen be treffend Zusatzleis tungen zu AHV/IV, „ Voll zugsweisungen</w:t>
      </w:r>
    </w:p>
    <w:p>
      <w:r>
        <w:t>betr. Zusatzleistun gen mit Wirkung ab 1. Januar 1999“ vom 24. November 1998 , einsehbar unter www.sozialamt.zh.ch ).</w:t>
      </w:r>
    </w:p>
    <w:p>
      <w:r>
        <w:rPr>
          <w:b/>
        </w:rPr>
        <w:t>E. 1.4</w:t>
      </w:r>
    </w:p>
    <w:p>
      <w:r>
        <w:t>Für die Berücksichtigung eines Vermögensverzichts ist grundsätzlich unerheb lich,</w:t>
      </w:r>
    </w:p>
    <w:p>
      <w:r>
        <w:t>wie weit die Verzichtshandlung zurückliegt (vgl. Carigiet /Koch, a.a.O., S. 176). Der anzurechnende Betrag von Vermögenswerten, auf die verzichtet worden ist, wird jedoch gestützt auf Art. 17a ELV ab dem übernächsten Jahr, das auf den Verzicht folgt, jährlich um Fr. 10‘000.-- vermindert. 2. 2.1</w:t>
      </w:r>
    </w:p>
    <w:p>
      <w:r>
        <w:t>Strittig und zu prüfen ist, ob de r verstorbenen Mutte r der beschwerdeführenden Erben aufgrund der gewährten Erbvorbezüge und der güter- und erbrechtlichen Auseinandersetzung anlässlich des Todes de s Ehemannes Verzicht s vermögen bei der Ermittlung ihres Zusatzleistungsanspruchs anzurechnen ist.</w:t>
      </w:r>
    </w:p>
    <w:p>
      <w:r>
        <w:t>In der Ve rfügung vom 3 0. Januar 2014 ( Urk. 14/66 und Urk. 14/67) ist der Zeit raum der Anspruchsverneinung nicht näher bezeichnet. Die Berechnung, die Bestandteil der Verfügung ist, enthält jedoch nur die Zahlen per 1. Januar 2010 ( Urk. 14/67). Da der Zusatzleistungsanspruch für jedes Kalenderjahr neu festge legt wird ( Art. 9 Abs. 1 ELG, Art. 2</w:t>
      </w:r>
    </w:p>
    <w:p>
      <w:r>
        <w:rPr>
          <w:b/>
        </w:rPr>
        <w:t>E. 1.5</w:t>
      </w:r>
    </w:p>
    <w:p>
      <w:r>
        <w:t>Gestützt auf diese Dokumente nahm die Gemeinde die Neuberechnung des Zu satzleistungsanspruchs von X.___ vor ( Urk. 14/66) und verneinte daraufhin den Anspruch für die Zeit ab Januar 2010 mit Verfügung vom</w:t>
      </w:r>
    </w:p>
    <w:p>
      <w:r>
        <w:rPr>
          <w:b/>
        </w:rPr>
        <w:t>E. 3</w:t>
      </w:r>
    </w:p>
    <w:p>
      <w:r>
        <w:t>Zustellung gegen Empfangsschein an: - Z.___ - Gemeinde B.___ - Bundesamt für Sozialversicherungen - Sicherheitsdirektion Kanton Zürich</w:t>
      </w:r>
    </w:p>
    <w:p>
      <w:r>
        <w:rPr>
          <w:b/>
        </w:rPr>
        <w:t>E. 3.1</w:t>
      </w:r>
    </w:p>
    <w:p>
      <w:r>
        <w:t>In Nachachtung des Urteils vom 3 1. Januar 2013 betraute die Beschwerde geg ne rin die I.___ mit der Verkehrswertschätzung.</w:t>
      </w:r>
    </w:p>
    <w:p>
      <w:r>
        <w:t>Gemäss der Übersicht der I.___ ( Urk. 14/65/1-2) gelangten insgesamt sieben Grundstücke zur Schätzung, nämlich die unbebauten Grundstücke Kat. Nr. J.___ und Kat. Nr. K.___ , die in den Jahren 1975 und 1977 den beiden älteren Nach kommen des Ehepaars X.___ und E.___ übereignet worden waren , und die Waldpar zelle Kat. Nr. L.___ , die der ältere Sohn im September 1988 erhalten hatte, sowie die vier Grundstücke, die dem jüngere n Sohn im Januar 1989 überschrieben wurden , so das</w:t>
      </w:r>
    </w:p>
    <w:p>
      <w:r>
        <w:t>mit Wohnhaus bebaute Grundstück Kat. Nr. F.___ , das Grund stück Kat. Nr.</w:t>
      </w:r>
    </w:p>
    <w:p>
      <w:r>
        <w:t>M.___ mit Bienenhaus, d ie Landwirtschaftsparzelle Kat. Nr.</w:t>
      </w:r>
    </w:p>
    <w:p>
      <w:r>
        <w:t>N.___ mit Speicher und die Landwirtschaftsparzelle Kat. Nr. O.___ .</w:t>
      </w:r>
    </w:p>
    <w:p>
      <w:r>
        <w:rPr>
          <w:b/>
        </w:rPr>
        <w:t>E. 3.2</w:t>
      </w:r>
    </w:p>
    <w:p>
      <w:r>
        <w:t>mit Hinweisen ). Diese Rechtsprechung, deren Hauptanwendungs ge biet die medizinischen Gutachten sind, gilt auch für Sach verständigenaussagen in den weiteren Materien des Sozialversicherungsrechts .</w:t>
      </w:r>
    </w:p>
    <w:p>
      <w:r>
        <w:t>Die Schätzung der I.___ genügt den dargestellten Anforderungen an ein aus reichend begründetes Gutachten nicht. Wohl sind d ie Schätzungsergebnisse in den sieben Schätzungsdokumente n</w:t>
      </w:r>
    </w:p>
    <w:p>
      <w:r>
        <w:t>mit Zahlen und Daten untermauert. Es fehlt jedoch eine beschreibende und auch für den Laien verständliche Darstel lung der verwendeten DCF-Methode. Des Weiteren muss die verwendete Me thode in den Kontext anderer Methoden gestellt werden , und es müssen - in Be zug auf die vorliegend interessierende Fragestellung - deren Vor- und Nachteile im Ver gleich zu anderen Methoden erörtert werden (vgl. zur Methodenwahl, insbe son dere zur sogenannten Lageklassemethode in einem Enteignungsver fahren , die Überlegungen des Bundesgerichts im Urteil 1E.3/2005 vom 1 0. Mai 2005, E.</w:t>
      </w:r>
    </w:p>
    <w:p>
      <w:r>
        <w:t>5). Der rechtsanwendende Laie braucht sodann Angaben zur Verläss lichkeit der ver wendeten Schätzungsmethode für die konk reten Objekte. Denn die beschei de ne Datenlage zu Grundstücken in der Gemeinde B.___</w:t>
      </w:r>
    </w:p>
    <w:p>
      <w:r>
        <w:t>war der Hauptgrund dafür, dass das Gericht im Urteil vom 31. Januar 2013 eine kon krete Schätzun g für erforderlich gehalten hat. Nachdem die P.___ die Anfrage der Beschwerdegegnerin um Vornahme der Schätzung ab schlägig beantwortet hat un d dies wiederum damit begründet hat, ihre Daten zeigten grosse Lück en und wenig Verlässlichkeit (E Mail vom 1 5. Februar 2013, Urk. 14/57/1), ist die Frage nach der Konkretheit und der Zuverlässigkeit der Schätzungen der I.___ von besonderer Relevanz. Den vorgelegten Schät zungsdokumenten kann in dessen der Konkretheitsgrad der Schätzungen nicht ohne Weiteres</w:t>
      </w:r>
    </w:p>
    <w:p>
      <w:r>
        <w:t>entnommen werden, was denn auch den zentralen Punkt der Rü gen der beschwerde führen den Erben im vorliegenden Verfahren bildet ( Urk. 1/1 S.</w:t>
      </w:r>
    </w:p>
    <w:p>
      <w:r>
        <w:t>3). Namentlich wird nicht deutlich, ob und in welcher Weise die Ergebnisse des Augenscheins (mit Anfer ti gung von Fotografien) in die Bewertung einge flossen sind, und das gleiche gilt für die Daten, die unter dem Titel „Kommen tare/Bemerkungen/ Unterlagen ver zeich nis “ festgehalten sind ( Urk. 14/65/ 12, Urk. 14/65/26, Urk. 14/65/38, Urk. 14/65/5 1, Urk. 14/65/65,</w:t>
      </w:r>
    </w:p>
    <w:p>
      <w:r>
        <w:t>Urk. 14/65/78, Urk. 14/65/91).</w:t>
      </w:r>
    </w:p>
    <w:p>
      <w:r>
        <w:rPr>
          <w:b/>
        </w:rPr>
        <w:t>E. 3.3</w:t>
      </w:r>
    </w:p>
    <w:p>
      <w:r>
        <w:t>Bei einer Liegenschaftenschätzung , die im Rahmen einer Auseinandersetzung um den Anspruch auf Ergänzungsleistungen erfolgt, handelt es sich rechtlich um ein Gutachten im Sinne von Art. 44 des Bundesgesetzes über den Allgemei nen Teil des Sozialversicherungsrechts (ATSG). Als solches muss es die allge meinen, von der Rechtsprechung entwickelten Anforderungen erfüllen, na mentlich müssen die Schlussfolgerungen der sachverständigen Person in einer Weise be gründet sein, dass die rechtsanwendende Behörde sie prüfend nach vollziehen kann, und die sachverständige Person muss nicht auszuräumende Unsicher hei ten und Unklarheiten, welche ihr die Beantwortung der Fragen er schweren oder verunmöglichen, deutlich machen ( Kieser , ATSG Kommentar, 2. Auflage , Zürich 2009, N 32 zu Art. 44 ATSG ; Urteil des Bundesgerichts U 401/04 vom 1 3. Juni 2005, E.</w:t>
      </w:r>
    </w:p>
    <w:p>
      <w:r>
        <w:rPr>
          <w:b/>
        </w:rPr>
        <w:t>E. 3.4</w:t>
      </w:r>
    </w:p>
    <w:p>
      <w:r>
        <w:t>Die Beschwerdegegnerin wird deshalb bei der I.___ eine Ergänzung zur Schätzungsdokumentation einzuholen haben, welche den Anforderungen an ein Gutachten genügt und die dargelegten Fragen beantwortet. Zudem wird die Be schwerdegegnerin noch die notwendigen Sachverhaltsabklärungen zur An wend barkeit des BGBB zu treffen und die I.___ gegebenenfalls mit der dies falls massgebenden Bewertung zu beauftragen haben (vgl. E. 2.7 des Urteils vom 3 1. Januar 2013, Urk. 14/56).</w:t>
      </w:r>
    </w:p>
    <w:p>
      <w:r>
        <w:t>Der angefochtene Einspracheentscheid vom 8. Juli 2014 ist demnach aufzuhe ben, und die Sache ist nochmals an die Beschwerdegegnerin zurückzuweisen, damit sie nach Vornahme der zusätzlichen Sachverhaltsabklärungen im Sinne der Er wägungen die Schätzung der I.___ ergänze n lasse und hernach über den Zu satzleistungsanspruch der verstorbenen Gesuch stellerin neu verfüge.</w:t>
      </w:r>
    </w:p>
    <w:p>
      <w:r>
        <w:t>Bei diesem Ausgang des Verfahrens braucht auf die weiteren Punkte im ange fochtenen Einspracheentscheid und auf die Vorbringen der Beschwerdeführen den dazu noch nicht näher eingegangen zu werden. In dieser Hinsicht bleiben den Parteien im Rahmen eines allfälligen neuen Beschwerdeverfahrens alle Rechte gewahrt. Ferner bleibt es den Parteien unbenommen, sich - ohne Einho le n der Ergänzung der I.___ oder nach deren Vorliegen - über die Zusatz leis tungsansprüche der verstorbenen Gesuchstellerin zu einigen. Das Gericht erkennt: 1.</w:t>
      </w:r>
    </w:p>
    <w:p>
      <w:r>
        <w:t>Die Beschwerde wird in dem Sinne gutgeheissen, dass der angefochtene</w:t>
      </w:r>
    </w:p>
    <w:p>
      <w:r>
        <w:t>Einsprache ent scheid vom 8. Juli 2014 auf gehoben und die Sache an die Ge meinde B.___ , Durch führungsstelle für Zusatzleistungen zur AHV/IV, z urückgewiesen wird, damit diese nach Vornahme der zusätzlichen Sachverhaltsabklärungen im Sinne der Erwä gungen die Schätz ung der I.___ ergänzen lasse und her nach über den Zusatzleistungsanspruch der verstorbenen Gesuchstellerin neu verfüge .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