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ZL.2013.00113 vom 18. März 2016</w:t>
      </w:r>
    </w:p>
    <w:p>
      <w:r>
        <w:t>ZH Sozialversicherungsgericht, 2016-03-18, DE</w:t>
      </w:r>
    </w:p>
    <w:p>
      <w:r>
        <w:rPr>
          <w:b/>
        </w:rPr>
        <w:t xml:space="preserve">Quelle: </w:t>
      </w:r>
      <w:r>
        <w:t>https://mcp.opencaselaw.ch/entscheid/zh_sozialversicherungsgericht_ZL.2013.00113</w:t>
      </w:r>
    </w:p>
    <w:p>
      <w:r>
        <w:t>FR: ZH_SOZIALVERSICHERUNGSGERICHT ZL.2013.00113 du 18 mars 2016</w:t>
      </w:r>
    </w:p>
    <w:p>
      <w:r>
        <w:t>IT: ZH_SOZIALVERSICHERUNGSGERICHT ZL.2013.00113 del 18 marzo 2016</w:t>
      </w:r>
    </w:p>
    <w:p>
      <w:pPr>
        <w:pStyle w:val="Heading2"/>
      </w:pPr>
      <w:r>
        <w:t>Erwägungen</w:t>
      </w:r>
    </w:p>
    <w:p>
      <w:r>
        <w:rPr>
          <w:b/>
        </w:rPr>
        <w:t>E. 1.1</w:t>
      </w:r>
    </w:p>
    <w:p>
      <w:r>
        <w:t>Gemäss Art. 25 Abs. 1 des Bundesgesetzes über den Allgemeinen Teil des Sozial versicherungsrechts (ATSG) sind unrechtmässig bezogene Leistungen zurückzuerstatten. Die Unrechtmässigkeit des Bezugs von Ergänzungsleistungen ergibt sich dadurch, dass die Berechnungsgrundlagen rückwirkend so angepasst werden, dass aus der Neuberechnung ein tieferer Anspruch resultiert als ursprünglich ausgerichtet ( Carigiet /Koch, Ergänzungsleistungen zur AHV/IV, 2. Auflage, Zürich/Basel/Genf 2009, S. 98). Das Gesetz über die Zusatzleistun gen zur eidgenössischen Alters-, Hinterlassenen- und Invalidenversicherung (ZLG) enthält keine Bestimmungen über die Rückerstattung zu Unrecht bezoge ner kantonaler Leistungen. Die Rückerstattung zu Unrecht bezogener Leistungen entspricht jedoch einem allgemeinen Rechtsgrundsatz im Sozialversicherungs recht und ist Ausdruck des Gesetzmässigkeitsprinzips (Thomas Locher, Grund riss des Sozialversicherungsrechts, 3. Auflage, Bern 2003, S. 278, § 42, N 2; vgl. auch S. 87 f., § 4, N 16 ff.), weshalb die bundesrechtlichen Bestimmungen auch auf die kantonalen Beihilfen und die Gemeindezuschüsse anzuwenden sind.</w:t>
      </w:r>
    </w:p>
    <w:p>
      <w:r>
        <w:rPr>
          <w:b/>
        </w:rPr>
        <w:t>E. 1.2</w:t>
      </w:r>
    </w:p>
    <w:p>
      <w:r>
        <w:t>Wer Leistungen in gutem Glauben empfangen hat, muss sie nicht zurückerstat ten, wenn eine grosse Härte vorliegt (Art. 25 Abs. 1 Satz 2 ATSG). Demnach darf eine Rückforderung nur unter der doppelten Voraussetzung des guten Glaubens und der grossen Härte erlassen werden.</w:t>
      </w:r>
    </w:p>
    <w:p>
      <w:r>
        <w:rPr>
          <w:b/>
        </w:rPr>
        <w:t>E. 1.3</w:t>
      </w:r>
    </w:p>
    <w:p>
      <w:r>
        <w:t>Der gute Glaube als Erlassvoraussetzung ist nicht schon mit der Unkenntnis des Rechtsmangels gegeben. Es ist zu unterscheiden zwischen dem guten Glauben als fehlendem Unrechtsbewusstsein und der Frage, ob sich jemand unter den gegebenen Umständen auf den guten Glauben berufen kann, und ob er bei zu mutbarer Aufmerksamkeit den bestehenden Rechtsmangel hätte erkennen sol len. Der Leistungsempfänger darf sich nicht nur keiner böswilligen Absicht, sondern auch keiner groben Nachlässigkeit schuldig gemacht haben. Nach der Rechtsprechung entfällt der gute Glaube als Er lassvoraussetzung von vornhe rein, wenn der Rückerstat tungs tat bestand (Melde oder Auskunftspflichtverlet zung ) durch ein arglistiges oder grobfahrlässiges Verhalten her beigeführt wurde. Anderseits kann sich die versicherte Person auf den guten Glauben berufen, wenn ihre fehlerhafte Handlung oder Unter lassung nur eine leichte Verletzung der Melde oder Aus kunfts pflicht darstellt (BGE 112 V 97 E. 2c mit Hinwei sen). Das Mass der erforderlichen Sorgfalt beurteilt sich nach einem objektiven Mas sstab, wobei aber das den Betroffenen in ihrer Subjektivität Mögliche und Zu mutbare (Urteilsfähigkeit, Gesundheitszustand, Bildungsgrad usw.) nicht ausge blendet werden darf (Urteil des Bundesgerichts 8C_888/2008 vom 19. August 2009 E. 3.2 mit weiteren Hinweisen). 2.</w:t>
      </w:r>
    </w:p>
    <w:p>
      <w:r>
        <w:rPr>
          <w:b/>
        </w:rPr>
        <w:t>E. 2</w:t>
      </w:r>
    </w:p>
    <w:p>
      <w:r>
        <w:t>/ 41-44 ),</w:t>
      </w:r>
    </w:p>
    <w:p>
      <w:r>
        <w:rPr>
          <w:b/>
        </w:rPr>
        <w:t>E. 2.1</w:t>
      </w:r>
    </w:p>
    <w:p>
      <w:r>
        <w:t>Die Beschwerdegegnerin hielt im angefochtenen Einspracheentscheid ( Urk. 2) fest, dass sie im Dezember 2014 vom Sozialen Dienst über die Leistungen der Chronisch-Krankenpflegeversicherung der Beschwerdeführerin informiert wor den sei. Die Abklärungen hätten ergeben, dass die Beschwerdeführerin bereits seit Juli 2009 Anspruch auf diese Taggelder gehabt und die Krankenkasse diese regelmässig ausbezahlt habe (S. 2). Bei der Durchsicht und der Unterzeichnung der genehmigten Verfügungen seit dem Neugesuch über Zusatzleistungen sei ersichtlich gewesen, dass die Taggeldversicherung fälschlicherweise nie einge rechnet worden sei. Es sei davon auszugehen, dass eine Fachstelle wie der Soziale Dienst die Verfügungen genau überprüfe und diese nur bei deren Rich tigkeit unterzeichne. Der monatliche Überschuss, welcher sich aufgrund der zu viel ausbezahlten Zusatzleistungen zur AHV ergeben habe, hätte dem Vertreter auffallen müssen . Der gute Glaube sei daher zu verneinen . Grosse Härte sei gegeben</w:t>
      </w:r>
    </w:p>
    <w:p>
      <w:r>
        <w:t>(S. 4 ) .</w:t>
      </w:r>
    </w:p>
    <w:p>
      <w:r>
        <w:rPr>
          <w:b/>
        </w:rPr>
        <w:t>E. 2.2</w:t>
      </w:r>
    </w:p>
    <w:p>
      <w:r>
        <w:t>Demgegenüber stellte sich die Beschwerdeführerin auf den Standpunkt ( Urk. 1), dass sie der Beschwerdegegnerin seit Beginn der Auszahlung von Zusatzleistun gen sämtliche Krankenkassenpolicen und Abrechnungen der Krankenkasse zugestellt habe. Darauf seien die Taggeldversicherungen zu erkennen gewesen. Ebenso seien die Auszahlungen der Taggelder für chronisch Kranke auf den zugestellten Krankenkassenabrechnungen klar zu ersehen gewesen . Es sei somit Gutgläubigkeit anzunehmen (S. 1). Ausserdem liege auch eine grosse Härte vor, zumal nach Abzug der noch ausstehenden Heimrechnungen und nach Erhalt des geringen Nachlasses des verstorbenen Ehemannes ein geringfügiger Betrag als Vermögen verbleiben werde und die Rückforderung nicht zurück bezahlt werden könne (S. 1 f.) .</w:t>
      </w:r>
    </w:p>
    <w:p>
      <w:r>
        <w:rPr>
          <w:b/>
        </w:rPr>
        <w:t>E. 2.3</w:t>
      </w:r>
    </w:p>
    <w:p>
      <w:r>
        <w:t>Streitig und zu prüfen ist in diesem Verfahren einzig der Erlass der Rückforde rung, während deren Bestand sowie Höhe unbestritten sind und rechtskräftig festgestellt wurden. 3. 3.1</w:t>
      </w:r>
    </w:p>
    <w:p>
      <w:r>
        <w:t>Gemäss Art. 24 der Verordnung über die Ergänzungsleistungen zur Alters-, Hin terlassenen- und Invalidenversicherung (ELV) hat der Anspruchsberechtigte der kantonalen Durchführungsstelle von jeder Änderung der persönlichen und von jeder ins Gewicht fallenden Änderung der wirtschaftlichen Verhältnisse unver züglich Mitteilung zu machen. 3.2</w:t>
      </w:r>
    </w:p>
    <w:p>
      <w:r>
        <w:t>Den Akten, insbesondere den Krankenkassenpolicen (vgl. Urk. 10/1, Urk. 10/4, Urk. 10/9, Urk. 10/11) sowie den Leistungsabrechnungen der Versicherten (vgl. Urk. 11/1, Urk. 11/ 3, Urk. 11/4 , Urk. 11/7, Urk. 11/ 10 , Urk. 12/16 ) , welche die damalige Beiständin der Versicherten der Durchführungsstelle zum Teil bereits zusammen mit der Anmeldung zum Bezug von Zusatzleistungen</w:t>
      </w:r>
    </w:p>
    <w:p>
      <w:r>
        <w:t>einreichte, ist zu entnehmen, dass die Versicherte über eine Versicherung für Chronisch-Kran kenpflege sowie eine Taggeldversicherung verfügt e . Eine Verletzung der Melde pflicht der Versicherten beziehungsweise ihrer Beistände ist diesbezüglich daher nicht anzunehmen, womit es ihrerseits kein Fehlverhalten gegeben hat. Daran vermag auch der Umstand, dass die jeweiligen Beistände die Verfügungen über die Ausrichtung von Zusatzleistungen jeweils unterzeichneten ,</w:t>
      </w:r>
    </w:p>
    <w:p>
      <w:r>
        <w:t>nichts zu ändern. Dass die entsprechenden Versicherungen in der Berechnung des Anspruchs auf Zusatzleistungen nic ht berücksichtigt wurden, hätte von der Beschwerdegegnerin mit einem Mindestmass an Aufmerksamkeit bemerkt wer den können. So ging aufgrund der jeweiligen Leistungsabrechnungen der Kran kenkasse klar hervor, dass der Versicherten aus der Versicherung für Chronisch-Krankenpflege Fr. 35.-- pro Tag vergütet wurden, was im Monat immerhin jeweils ein Guthaben von Fr. 1‘050.-- beziehungsweise Fr. 1‘085.-- ausmachte.</w:t>
      </w:r>
    </w:p>
    <w:p>
      <w:r>
        <w:t>3.3</w:t>
      </w:r>
    </w:p>
    <w:p>
      <w:r>
        <w:t>Es fragt sich nun , ob aus der korrekten Meldung der Versicherungen durch die Versicherte unter den gegebenen Umständen auf ihren guten Glauben und damit auf die Erfüllung der ersten Erlass voraussetzung zu schliessen ist, oder ob andere Gründe gegeben sind, welche der Annahme des guten Glaubens entge genstehen. 3.4</w:t>
      </w:r>
    </w:p>
    <w:p>
      <w:r>
        <w:t>Der gute Glaube entfällt nicht nur, wenn der Leistungsempfänger weiss , dass er unberechtigt Ergänzungsleistungen bezieht, sondern auch, wenn er sich einer groben Nachlässigkeit schuldig gemacht hat ( Carigiet /Koch, Ergänzungsleistun gen zur AHV/IV, 2. Auflage, Zürich/Basel/Genf 2009, S. 104). Durch eine nur leichte Fahrlässigkeit wird der gute Glaube, wie gesehen ( vorstehend E. 1.3), nicht aus ge schlossen.</w:t>
      </w:r>
    </w:p>
    <w:p>
      <w:r>
        <w:t>Von einer grobfahrlässigen Verletzung der Meldepflicht ist auszugehen, wenn die rückerstattungspflichtige Person nicht das Mindestmass an Aufmerksamkeit aufgewendet hat, welches von einem verständigen Menschen in gleicher Lage und unter den gleichen Umständen verlangt werden muss. Wie in anderen Be reichen beurteilt sich das Mass der erforderlichen Sorgfalt nach einem objekti ven Massstab , wobei aber das den Betroffenen in ihrer Subjektivität Mögliche und Zumutbare (Urteilsfähigkeit, Gesundheitszustand, Bildungsgrad usw.) nicht ausgeblendet werden darf (Urteil des Bundesgerichts 8C_759/2008 vom 26. No-vember 2008 E. 3.2 und E. 3.5). 3.5</w:t>
      </w:r>
    </w:p>
    <w:p>
      <w:r>
        <w:t>Soweit die Beschwerdegegnerin geltend machte, die Versicherte beziehungs wei se ihre Beistände hätte n bei der Kontrolle und Unterzeichnung der jeweiligen EL- Verfügungen bemerken müssen, dass die Einkünfte aus den Versicherungen nicht eingesetzt worden seien, ist festzuhalten, dass der Versicherten und ihren Beiständen aufgrund der vorliegenden Umstände weder ein Handeln in böser Absicht nachgesagt noch der Vor wurf gemacht werden kann, sie hätten grob fahrlässig gehandelt. Die B eschwerdegegnerin setzte auch in der Berechnung</w:t>
      </w:r>
    </w:p>
    <w:p>
      <w:r>
        <w:t>der Verfügung vom 2 9. April 2013 (Revisionsverfügung Nr. 12; Urk. 12/52) wiederum kein en Betrag für die Chronisch-Krankenpfl egeversicherung ein, ob wohl sie mit Schreiben vom 1 4. Dezember 2012 ( Urk. 12/55) ausdrücklich auf die Versicherung aufmerksam gemacht wurde und diese zuvor in der Verfügung vom 2 8. Januar 2013 (Revisionsverfügung Nr. 11; Urk. 12/51) erstmals auch berücksichtigte. Dass die Versicherte beziehungsweise ihre Beistände die fehler hafte Angabe betreffend ihre Einkünfte in den vorangegangenen Verfügungen auch bei der Aufwendung der erforderliche n Sorgfalt nicht bemerk hatten, erscheint aufgrund der subjekti ven Situation glaubhaft und kann ih nen somit nicht vorgeworfen wer den. 3.6</w:t>
      </w:r>
    </w:p>
    <w:p>
      <w:r>
        <w:t>Nach der Rechtsprechung scheidet der gute Glaube regelmässig aus, wenn ein Berechnungsfehler vorliegt, welchen die versicherte Person bei Beachtung der ihr zumutbaren Aufmerksamkeit ohne weiteres hätte erkennen müssen (Urteil des Bundesgerichts P 62/04 vom 6. Juni 2005 E. 4.3).</w:t>
      </w:r>
    </w:p>
    <w:p>
      <w:r>
        <w:t>Diesbezüglich bleibt festzuhalten, dass v on Bezugsberechtigten in der Regel nicht erwartet werden kann, dass sie die Berechnung der Zusatzleistungen voll ständig nachzuvollziehen vermögen. Um sich nicht dem Vorwurf einer Sorg faltspflichtverletzung auszusetzen, muss es grundsätzlich genügen, dass die Berechnungsblätter, die den Verfügungen beigelegt sind, im Rahmen der indivi duellen Möglichkeiten auf offensichtli che Fehler hin kontrolliert werden. Die vorliegend relevante Position ist denn auch nicht ohne weiteres verständlich, weshalb es insgesamt nicht als grobfahrlässig erscheint, wenn die Versicherte beziehungsweise ihre Beistände diese übersehen respektive nicht hinterfragt haben.</w:t>
      </w:r>
    </w:p>
    <w:p>
      <w:r>
        <w:t>Der Versicherten war daher bei der Durchsicht der EL- Verfügungen nicht ohne weiteres erkennbar, dass darin zu tiefe Einkünfte aufgeführt waren und dass die EL-Berechnung daher unzutreffend war.</w:t>
      </w:r>
    </w:p>
    <w:p>
      <w:r>
        <w:t>Von e iner groben Nachlässigkeit der Versicherten kann unter den gegebe nen Umständen nicht gesprochen werden. Weiter kann davon ausge gangen werden, dass der Versicherten subjektiv das Be wusstsein der Unrechtmässigkeit des Leistungsbezugs fehlte. Dies hat selbst zu gelten, wenn sie durch einen Beistand vertreten war.</w:t>
      </w:r>
    </w:p>
    <w:p>
      <w:r>
        <w:t>Unter diesen Umständen ist der gute Glaube beim Bezug der Ergänzungs leistun gen , welche der Rückforderung im Betrag von Fr. 50'178.-- zu Grunde liegen, zu bejahen.</w:t>
      </w:r>
    </w:p>
    <w:p>
      <w:r>
        <w:t>Nachdem die Beschwerdegegnerin die kumulativ zu erfüllende Erlassvorausset zung der grossen Härte bereits bejaht hat (vgl. Urk. 2 S. 4), ist der angefochtene Entscheid aufzuheben. Dies führt zur Gutheissung der Beschwerde. Das Gericht erkennt: 1.</w:t>
      </w:r>
    </w:p>
    <w:p>
      <w:r>
        <w:t>In Gutheissung der Beschwerde wird der Einspracheentscheid der Gemeinde F.___ , Durchführungsstelle für Zusatzleistungen zur AHV/IV, vom 7. November 2013 aufge hoben. 2.</w:t>
      </w:r>
    </w:p>
    <w:p>
      <w:r>
        <w:t>Das Verfahren ist kostenlos. 3 .</w:t>
      </w:r>
    </w:p>
    <w:p>
      <w:r>
        <w:t>Zustellung gegen Empfangsschein an: - Y.___ für die Erben 1-7 - Gemeinde F. ___ , Durchführungsstelle für Zusatzleistungen zur AHV/IV - Bundesamt für Sozialversicherungen - Sicherheitsdirektion des Kantons Zürich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VorsitzendeDie Gerichtsschreiberin MosimannSchüpbach</w:t>
      </w:r>
    </w:p>
    <w:p>
      <w:r>
        <w:rPr>
          <w:b/>
        </w:rPr>
        <w:t>E. 6</w:t>
      </w:r>
    </w:p>
    <w:p>
      <w:r>
        <w:t>. September 201 1 (Urk. 12 / 45 ),</w:t>
      </w:r>
    </w:p>
    <w:p>
      <w:r>
        <w:rPr>
          <w:b/>
        </w:rPr>
        <w:t>E. 11</w:t>
      </w:r>
    </w:p>
    <w:p>
      <w:r>
        <w:t>. Juni</w:t>
      </w:r>
    </w:p>
    <w:p>
      <w:r>
        <w:t>2011 (Urk. 1 2 / 46; Urk. 12/48 )</w:t>
      </w:r>
    </w:p>
    <w:p>
      <w:r>
        <w:t>an die veränderten finanziellen Verhältnisse de r Ver si cherten angepasst.</w:t>
      </w:r>
    </w:p>
    <w:p>
      <w:r>
        <w:rPr>
          <w:b/>
        </w:rPr>
        <w:t>E. 12</w:t>
      </w:r>
    </w:p>
    <w:p>
      <w:r>
        <w:t>/ 92 ) . D ie Durchführungsstelle wies die Einsprache mit Entscheid vom 7 . November 201 3 (Urk. 1 2 / 93 = Urk. 2) ab. 2.</w:t>
      </w:r>
    </w:p>
    <w:p>
      <w:r>
        <w:t>Geg en den Einspracheentscheid vom 7 . November 2013 (Urk. 2) erhob die Ver sicherte am 21 . November 201 3 Beschwerde (Urk. 1) und bean tragte, es sei dem Erlassgesuch wegen Gutgläubigkeit und grosser Härte zu entsprechen. Mit Beschwerdeantwort vom 1 5. Januar 2014 ( Urk. 9) beantragte die Durch füh rungs stelle die Abweisung der Beschwerde, was de r Versicherten am 21 . J anuar 201 4 zur Kenntnis gebracht wurde (Urk. 1 3 ).</w:t>
      </w:r>
    </w:p>
    <w:p>
      <w:r>
        <w:t>Am 1 7. Februar 2015 ( Urk. 14-15) teilte der Beistand der Versicherten dem Gericht mit, dass diese am 1 7. Januar 2015 verstorben sei (vgl. Urk. 16). Mit Verfügung vom 2 4. Februar 2015 ( Urk. 17) sistierte das Gericht den Prozess, bis über den Antritt der Erbschaft entschieden sei. Nach Eingang des Erbenscheins ( Urk. 21) hob das Gericht mit Verfügung vom 2 7. Oktober 2015 ( Urk. 22) die Sistierung auf und nahm Vormerk</w:t>
      </w:r>
    </w:p>
    <w:p>
      <w:r>
        <w:t>vom Eintritt der Erben 1-7 in den Prozess. Gleichzeitig wurde den Erben 1-7 Frist angesetzt, um dem Gericht mitzuteilen, ob sie den Prozess weiterführen wollen. Die Erben 1-7 wurden darauf hinge wiesen, dass der Prozess bei Säumnis weitergeführt wird. Nachdem die Erben s äum i g waren, verfügte d as Gericht am 2. Februar 2016 ( Urk. 29), dass der Prozess weitergeführt wird und bestimmte</w:t>
      </w:r>
    </w:p>
    <w:p>
      <w:r>
        <w:t>Y.___ als gemeinsa me n Zus tellungsempfänger der Erben 1- 7.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