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ZL.2012.00091 vom 1. April 2015</w:t>
      </w:r>
    </w:p>
    <w:p>
      <w:r>
        <w:t>ZH Sozialversicherungsgericht, 2015-04-01, DE</w:t>
      </w:r>
    </w:p>
    <w:p>
      <w:r>
        <w:rPr>
          <w:b/>
        </w:rPr>
        <w:t xml:space="preserve">Quelle: </w:t>
      </w:r>
      <w:r>
        <w:t>https://mcp.opencaselaw.ch/entscheid/zh_sozialversicherungsgericht_ZL.2012.00091</w:t>
      </w:r>
    </w:p>
    <w:p>
      <w:r>
        <w:t>FR: ZH_SOZIALVERSICHERUNGSGERICHT ZL.2012.00091 du 1 avril 2015</w:t>
      </w:r>
    </w:p>
    <w:p>
      <w:r>
        <w:t>IT: ZH_SOZIALVERSICHERUNGSGERICHT ZL.2012.00091 del 1 aprile 2015</w:t>
      </w:r>
    </w:p>
    <w:p>
      <w:pPr>
        <w:pStyle w:val="Heading2"/>
      </w:pPr>
      <w:r>
        <w:t>Erwägungen</w:t>
      </w:r>
    </w:p>
    <w:p>
      <w:r>
        <w:rPr>
          <w:b/>
        </w:rPr>
        <w:t>E. 1</w:t>
      </w:r>
    </w:p>
    <w:p>
      <w:r>
        <w:t>X.___ , geboren 1926, Bezügerin einer Rente der Alters- und Hinterlassenenversicherung (Urk. 7/32), meldete sich am 5. Januar 2012 zum Bezug von Zusatzleistungen an (Urk. 7/6). Mit Verfügung vom 18. Juli 2012 (Urk. 7/23 = Urk. 7/39 = Urk. 3/3) verneinte die Stadt Zürich, Amt für Zusatz leistungen zur AHV/IV (nachfolgend: AZL), infolge eines Einnahmeüberschusses einen Anspruch auf Zusatzleistungen. Die dagegen erhobene Einsprache vom 16. August 2012 (Urk. 7/25) wies sie mit Entscheid vom 31. August 2012 (Urk. 7/37 = Urk. 2) ab.</w:t>
      </w:r>
    </w:p>
    <w:p>
      <w:r>
        <w:rPr>
          <w:b/>
        </w:rPr>
        <w:t>E. 1.1</w:t>
      </w:r>
    </w:p>
    <w:p>
      <w:r>
        <w:t>Gemäss Art. 4 Abs. 1 lit . a des Bundesgesetzes über Ergänzungsleistungen zur Alters-, Hinterlassenen- und Invalidenversicherung (ELG) haben Personen mit Wohnsitz und gewöhnlichem Aufenthalt (Art. 13 des Bundesgesetzes über den Allgemeinen Teil des Sozialversicherungsrechts, ATSG) in der Schweiz, die eine Altersrente der Alters- und Hinterlassenenversicherung (AHV) beziehen, An spruch auf Ergänzungsleistungen. Die jährliche Ergänzungsleistung entspricht dem Betrag, um den die anerkannten Ausgaben (Art. 10 ELG) die anerkannten Einnahmen (Art. 11 ELG) übersteigen (Art. 9 Abs. 1 ELG).</w:t>
      </w:r>
    </w:p>
    <w:p>
      <w:r>
        <w:rPr>
          <w:b/>
        </w:rPr>
        <w:t>E. 1.2</w:t>
      </w:r>
    </w:p>
    <w:p>
      <w:r>
        <w:t>Gemäss Art. 23 der Verordnung über die Ergänzungsleistung zur AHV/IV (ELV) sind in zeitlicher Hinsicht für die Berechnung der jährlichen Ergänzungsleistung in der Regel die während des vorausgegangenen Kalenderjahres erzielten anre chenbaren Einnahmen sowie das am 1. Januar des Bezugsjahres vorhandene Vermögen massgebend (Abs. 1).</w:t>
      </w:r>
    </w:p>
    <w:p>
      <w:r>
        <w:rPr>
          <w:b/>
        </w:rPr>
        <w:t>E. 2</w:t>
      </w:r>
    </w:p>
    <w:p>
      <w:r>
        <w:t>(Urk. 2) erhob die Versi cherte am 1. Oktober 2012 Beschwerde und beantragte sinngemäss, es sei eine Neuberechnung durchzuführen, da die effektiven Einnahmen nicht genügen würden, um die Ausgaben zu decken (Urk. 1 S. 1). In der Beschwerdeantwort vom 29. Oktober 2012 (Urk. 6) schloss das AZL auf Abweisung der Beschwerde, was der Beschwerdeführerin mit Schreiben vom 6. November 2012 (Urk. 8) zur Kenntnis gebracht wurde.</w:t>
      </w:r>
    </w:p>
    <w:p>
      <w:r>
        <w:rPr>
          <w:b/>
        </w:rPr>
        <w:t>E. 2.1</w:t>
      </w:r>
    </w:p>
    <w:p>
      <w:r>
        <w:t>Im angefochtenen Entscheid vom 31. August 2012 (Urk. 2) respektive in der diesem zugrunde liegende n Verfügung vom 18. Juli 2012 (Urk. 7/39) berechnete die Beschwerdegegnerin gestützt auf die gesetzlichen Vorgaben den Anspruch auf Zusatzleistungen der Versicherten , wobei sie total anrechenbare Einnahmen von Fr. 83‘759.-- und anerkannte Ausgaben von Fr. 76‘500.-- ermittelte.</w:t>
      </w:r>
    </w:p>
    <w:p>
      <w:r>
        <w:rPr>
          <w:b/>
        </w:rPr>
        <w:t>E. 2.2</w:t>
      </w:r>
    </w:p>
    <w:p>
      <w:r>
        <w:t>Die Versicherte brachte hiegegen vor, es sei falsch, ihre italienische Rente im Bruttobetrag zu berechnen. Ausserdem habe sie bei der Bemessung der jährli chen Zusatzleistungen höhere Ausgaben (Ausgaben für Altersheim, Versiche rungskosten und persönliche Auslagen) im Betrag von total Fr. 93‘138.-- ge habt, womit die effektiven Einnahmen nicht genügen würden, um ihre Ausga ben zu decken, weshalb sie ein Anrecht au f Zusatzleistungen habe (Urk. 1 mit Verweis auf Urk. 3/1).</w:t>
      </w:r>
    </w:p>
    <w:p>
      <w:r>
        <w:rPr>
          <w:b/>
        </w:rPr>
        <w:t>E. 3</w:t>
      </w:r>
    </w:p>
    <w:p>
      <w:r>
        <w:t>des Gesetzes über die Zusatzleistungen zur eidgenössischen Alters-, Hinterlassenen- und Invalidenversicherung (ZLG) Gebrauch gemacht. Nach dieser Bestimmung beträgt der Vermögensverzehr für Personen in Heimen und Spitälern bei Alters- rentnerinnen und -rentnern einen Fünftel, bei den übrigen Personen einen Fünfzehntel.</w:t>
      </w:r>
    </w:p>
    <w:p>
      <w:r>
        <w:rPr>
          <w:b/>
        </w:rPr>
        <w:t>E. 3.1</w:t>
      </w:r>
    </w:p>
    <w:p>
      <w:r>
        <w:t>Die einzelnen Positionen der Berechnung der Zusatzleistungen stellen Begrün dungselemente der Verfügung und allenfalls des Einspracheentscheides (Teilas pekte des verfügungsweise festgelegten Rechtsverhältnisses) dar. Nicht bean standete Berechnungspositionen prüft das kantonale Versicherungsgericht nur, wenn hiezu aufgrund der Vorbringen in der Beschwerde oder anderer sich aus den Akten ergebender Anhaltspunkte hinreichender Anlass besteht (BGE 125 V 413 E. 2b und 2c).</w:t>
      </w:r>
    </w:p>
    <w:p>
      <w:r>
        <w:rPr>
          <w:b/>
        </w:rPr>
        <w:t>E. 3.2.1</w:t>
      </w:r>
    </w:p>
    <w:p>
      <w:r>
        <w:t>Die Versicherte beziehungsweise die Beschwerdeführenden beanstandete n die Berechnung diverser Einnahmen- beziehungsweise Ausgabenpositionen der Verfügung vom 18. Juli 2012 (Urk. 7/39), welche im Folgenden zu prüfen sind.</w:t>
      </w:r>
    </w:p>
    <w:p>
      <w:r>
        <w:rPr>
          <w:b/>
        </w:rPr>
        <w:t>E. 3.2.2</w:t>
      </w:r>
    </w:p>
    <w:p>
      <w:r>
        <w:t>Zu den anrechenba ren Einnahmen gehören nach Art. 11 Abs. 1 ELG nebst den Renten, Pensionen und anderen w iederkehrenden Leistungen ( lit . d) unter an derem zwei Drittel der Erwerbseinkünfte in Geld oder Naturalien, soweit sie bei alleinstehenden Personen jährlich Fr. 1'000.-- übersteigen ( lit a.) und ein Fünf zehntel (bei Altersrentnern ein Zehntel) des Reinvermögens, soweit es bei Al leinstehenden F r. 37‘500.-- (bei Ehepaaren Fr. 60'000.--) übersteigt ( lit .</w:t>
      </w:r>
    </w:p>
    <w:p>
      <w:r>
        <w:t>c, in der ab Januar 2011 geltenden Fassung) sowie Einkünfte und Vermögenswerte, auf die verzichtet worden ist ( lit . g).</w:t>
      </w:r>
    </w:p>
    <w:p>
      <w:r>
        <w:t>Art. 11 Abs. 2 ELG räumt den Kantonen die Kompetenz ein, für in Heimen oder Spitälern lebende Personen den Vermö gensverzehr abweichend von Abs. 1 lit . c ELG festzulegen. Die Kantone können den Vermögensverzehr auf höchstens ei nen Fünftel erhöhen.</w:t>
      </w:r>
    </w:p>
    <w:p>
      <w:r>
        <w:t>Von dieser Kompetenz hat der Kanton Zürich mit Erlass von § 11 Abs.</w:t>
      </w:r>
    </w:p>
    <w:p>
      <w:r>
        <w:rPr>
          <w:b/>
        </w:rPr>
        <w:t>E. 3.2.3</w:t>
      </w:r>
    </w:p>
    <w:p>
      <w:r>
        <w:t>Die Beschwerdegegnerin ermittelte als anrechenbare Einnahmen die AHV-Rente im Betrag von Fr. 12‘972.--, einen Vermögensertrag von Fr. 234.-- sowie total Fr. 63‘901.-- für „andere Renten und Pensionen“ (Berechnungsblatt, Urk. 7/39). Bei den „andere Renten und Pensionen“ berücksichtigte die Beschwerdegegnerin Leistungen aus einer privaten Lebensversicherung der Versicherten im Betrag von Fr. 11‘348.-- (Urk. 7/4.1) sowie eine italienische Rente (Ruhegehalt; IMPONIBILE PENSIONE EX-INPDAP) im Bruttobetrag von EUR 42‘742.32 be ziehungsweise umgerechnet von Fr. 52‘553.-- (Urk. 4.2, Urk. 7/4.2b).</w:t>
      </w:r>
    </w:p>
    <w:p>
      <w:r>
        <w:rPr>
          <w:b/>
        </w:rPr>
        <w:t>E. 3.2.4</w:t>
      </w:r>
    </w:p>
    <w:p>
      <w:r>
        <w:t>Die Versicherte beziehungsweise die Beschwerdeführenden beanstandete n sinn - ge mäss die Anrechnung der italienischen Rente im Bruttobetrag und bean tragte n die Berücksichtigung der Rente nur im Nettobetrag, das heisst abzüglich der italienischen Quellensteuer (Urk. 1 mit Verweis auf Urk. 3/2).</w:t>
      </w:r>
    </w:p>
    <w:p>
      <w:r>
        <w:rPr>
          <w:b/>
        </w:rPr>
        <w:t>E. 3.2.5</w:t>
      </w:r>
    </w:p>
    <w:p>
      <w:r>
        <w:t>Gemäss der beschwerdegegnerischen AZL-Praxis, auf welche die Beschwer - degeg nerin anfänglich abstellte, unterstehen die (privaten) italieni schen Renten, die ins Ausland ausgerichtet werden, der italienischen Quellen steuer. Auf Grund des Doppelbesteuerungsabkommens zwischen der Schweiz und Italien kann die Rückerstattung der italienischen Quellensteuer verlangt oder die direkte Ent - lastung beantragt werden, weshalb italienische Renten im mer zum Bruttoertrag anzurechnen sind (Urk. 7/4.2e).</w:t>
      </w:r>
    </w:p>
    <w:p>
      <w:r>
        <w:t>Aus den Akten ist jedoch ersichtlich, dass die Versicherte eine staatliche Rente des istituto</w:t>
      </w:r>
    </w:p>
    <w:p>
      <w:r>
        <w:t>nazionale di previdenza per i dipendenti</w:t>
      </w:r>
    </w:p>
    <w:p>
      <w:r>
        <w:t>dell’amministrazione</w:t>
      </w:r>
    </w:p>
    <w:p>
      <w:r>
        <w:t>pub blica (INPDAP) erhält, mithin ein Ruhegehalt von einer selbständigen Anstalt des öffentlichen Rechts. Gemäss Art. 19 Abs. 1 des Abkommens zwischen der Schweizerischen Eidgenossenschaft und der Italienischen Republik zur Vermei dung der Doppelbesteuerung und zur Regelung einiger anderer Fragen auf dem Gebiete der Steuern vom Einkommen und vom Vermögen (DBA-I) kann dieses Ruhegehalt nur in dem Vertragsstaat besteuert werden, aus dem diese Vergü tungen stammen, somit in Italien. Italien erhebt zu diesem Zweck eine Quellen steuer auf der Rentenauszahlung (vgl. Urk. 7/4.2c). Dieser Bestimmung zufolge besteht somit nicht die mitunter für private Renten in Art. 18 DBA-I vorgese hene Möglichkeit der Befreiung von der Quellensteuerpflicht und Besteuerung am Wohnort der versicherten Person. Folglich ist die der Versicherten ausge richtete staatliche italienische Rente im Nettobetrag, das heisst unter Abzug der von Italien erhobenen Quellensteuer, anzurechnen und nicht gemäss der AZL-Praxis zum Bruttoertrag (vgl. Urk.</w:t>
      </w:r>
    </w:p>
    <w:p>
      <w:r>
        <w:t>7/4.2e), was die Beschwerdegegnerin im Einspracheentscheid vom 31. August 2012 (Urk. 2) denn auch richtig erkannte.</w:t>
      </w:r>
    </w:p>
    <w:p>
      <w:r>
        <w:t>Gestützt auf den von der Beschwerdegegnerin abgestellten Rentenauszug vom Februar 2012 (Urk. 7/4.2), welcher für das Jahr 2012 eine Bruttorente im Betrag von EUR 42‘742.32 ausweist, ist folglich der ausbezahlte Nettobetrag von EUR 30‘462.24 (12 x EUR 2‘538.52) als anrechenbare Einnahme in der Anspruchs berechnung zu berücksichtigen. Gestützt auf den von der Beschwerdegegnerin angewandten und von der Versicherten beziehungsweise den Beschwerdefüh renden nicht bestrittenen Umrechnungskurs (vgl. Urk. 7/4.2b) ergibt sich somit eine anrechenbare italienische Rente im (Netto-)Jahresbetrag für das Jahr 2012 von Fr. 37‘454.-- (EUR 30‘462.24 x 1.22953).</w:t>
      </w:r>
    </w:p>
    <w:p>
      <w:r>
        <w:rPr>
          <w:b/>
        </w:rPr>
        <w:t>E. 3.2.6</w:t>
      </w:r>
    </w:p>
    <w:p>
      <w:r>
        <w:t>Zusammenfassend ergeben sich folgende anrechenbare Einnahmen der Ver - sicher ten für das Jahr 2012: AHV-Rente: Fr. 12‘972.-- Vermögensertrag Fr. 234.-- italienisches Ruhegehalt Fr. 37‘454.-- Private Lebensversicherung Fr. 11‘348.-- Als jährliche anrechenbare Einnahmen sind somit total Fr. 62‘008.-- in der Anspruchsberechnung zu berücksichtigen und nicht der von der Beschwerde gegnerin in der angefochtenen Verfügung vom 18. Juli 2012 veranschlagte Be trag von Fr. 83‘759.-- (Urk. 7/39).</w:t>
      </w:r>
    </w:p>
    <w:p>
      <w:r>
        <w:rPr>
          <w:b/>
        </w:rPr>
        <w:t>E. 3.3.1</w:t>
      </w:r>
    </w:p>
    <w:p>
      <w:r>
        <w:t>Die Versicherte beziehungsweise die Beschwerdeführenden machte n zudem Mehr kosten geltend, insbesondere Ausgaben für das Altersheim im Betrag von Fr. 82‘922.30 (Urk. 3/1).</w:t>
      </w:r>
    </w:p>
    <w:p>
      <w:r>
        <w:rPr>
          <w:b/>
        </w:rPr>
        <w:t>E. 3.3.2</w:t>
      </w:r>
    </w:p>
    <w:p>
      <w:r>
        <w:t>Nach Art. 10 Abs. 2 ELG in Verbindung mit § 11 ZLG werden bei Personen, die dauernd oder länger in einem Heim oder Spital leben (in Heimen oder in Spitä lern lebenden Personen) als Ausgaben die Tagestaxe ( lit . a) und ein vom Kanton zu bestimmender Betrag für persönliche Auslagen anerkannt. Zu den Heimosten werden alle regelmässig anfallenden Kosten wie Grundtaxe, Pflege, Betreuung, Wäsche, etc. gezählt, wobei die meisten Kantone eine Taxbegrenzung (Limitie rung nach oben) kennen (Erwin Carigiet / Uwe Koch, Ergänzungsleistungen zur AHV/IV, 2. Aufl., Zürich Basel Genf 2009, S. 192 f.).</w:t>
      </w:r>
    </w:p>
    <w:p>
      <w:r>
        <w:rPr>
          <w:b/>
        </w:rPr>
        <w:t>E. 3.3.3</w:t>
      </w:r>
    </w:p>
    <w:p>
      <w:r>
        <w:t>Gemäss der in den Akten liegenden aussagekräftigen Rechnung vom 14. Juni 2012 (Urk. 7/22) beträgt die Heimtaxe für das Wohnheim der Beschwerdeführe rin täglich Fr. 128.-- und die Betreuungstaxe Fr. 32.--. Hinzu kommt eine Pfle getaxe gemäss (unbestritten gebliebener) BESA-Einstufung von Fr. 72.35 pro Tag, welche zum Teil von der öffentlichen Hand (Fr. 12.40 pro Tag) und als vom Kanton festgelegte Pauschale (Fr. 38.35 pro Tag gemäss Regierungsratsbeschluss über die Pauschalen der obligatorischen Krankenpflegeversicherung für Pflege pflichtleistungen in den auf der Zürcher Pflegeheimliste aufgeführten Institutio nen mit Standort im Kanton Zürich für das Jahr 2012) von der obligatorischen Krankenversicherung gemäss Art. 25a Abs. 1 des Bundesgesetzes über die Kran kenversicherung (KVG) übernommen wird. Der Rest der Pflegetaxe im Umfang von Fr. 21.60 ist von der Versicherten selbst zu tragen und kann nicht als Aus gabe in der Anspruchsberechnung berücksichtigt werden.</w:t>
      </w:r>
    </w:p>
    <w:p>
      <w:r>
        <w:t>In Anwendung dieser gesetzlichen Vorgaben anerkannte die Beschwerdegegne rin insgesamt Fr. 66‘284.-- an jährlichen Kosten für den Heimaufenthalt (Urk. 7/39), was nach Lage der Akten nicht zu beanstanden ist.</w:t>
      </w:r>
    </w:p>
    <w:p>
      <w:r>
        <w:rPr>
          <w:b/>
        </w:rPr>
        <w:t>E. 3.3.4</w:t>
      </w:r>
    </w:p>
    <w:p>
      <w:r>
        <w:t>Die von der Versicherten beziehungsweise den Beschwerdeführenden geltend gemachten - jedoch nicht näher substantiierten - Kosten gemäss eingereichte r Finanzübersicht 2011 (vgl. Urk. 3/1) von rund Fr. 82‘000.-- pro Jahr beinhalten - soweit ersichtlich - die jeweiligen monatlichen Gesamtkosten des Heimaufent haltes im Jahre 201 1. Darin sind jedoch auch die von der Versicherten selbst zu tragenden Kosten wie zum Beispiel der Eigenanteil der Heimbewohnerin an der Pflegetaxe (vgl. vorstehend E. 3.3.3) sowie zusätzliche persönliche Nebenleis tungen im Heim (vgl. Urk. 7/22) enthalten, welche mangels gesetzlicher Grund lage nicht in den anerkannten Ausgaben berücksichtigt werden können. Aus serdem besteht der mögliche Anspruch der Versicherten auf Zusatzleistungen frühestens per Januar 2012, womit zum Beispiel die geltend gemachten Kosten für das Altersheim B.___ nicht zu berücksichtigen sind.</w:t>
      </w:r>
    </w:p>
    <w:p>
      <w:r>
        <w:rPr>
          <w:b/>
        </w:rPr>
        <w:t>E. 3.3.5</w:t>
      </w:r>
    </w:p>
    <w:p>
      <w:r>
        <w:t>Nebst den Heimkosten von Fr. 66‘284.-- berücksichtigte die Beschwerdegegne rin gemäss den gesetzlichen Bestimmungen Fr. 5‘016.-- für den Lebensbe - darf sowie Fr. 5‘200.-- für persönliche Auslagen bei Heimaufenthalten (vgl. Urk. 7/39), was von der Versicherten in ihrer Übersichtsrechnung aus dem Jahre 2011 übernommen und somit nicht bestritten wurde (vgl. Urk. 3/1). Ausserdem handelt es sich bei diesen Positionen um gesetzliche Pauschalbeträge gemäss Art. 10 ELG. Die Addition dieser vorgenannten Beträge ergeben die in der An spruchsberechnung zu berücksichtigenden anerkannten Ausgaben von total Fr. 76‘500.--.</w:t>
      </w:r>
    </w:p>
    <w:p>
      <w:r>
        <w:rPr>
          <w:b/>
        </w:rPr>
        <w:t>E.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