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ZL.2012.00081 vom 11. Januar 2013</w:t>
      </w:r>
    </w:p>
    <w:p>
      <w:r>
        <w:t>ZH Sozialversicherungsgericht, 2013-01-11, DE</w:t>
      </w:r>
    </w:p>
    <w:p>
      <w:r>
        <w:rPr>
          <w:b/>
        </w:rPr>
        <w:t xml:space="preserve">Quelle: </w:t>
      </w:r>
      <w:r>
        <w:t>https://mcp.opencaselaw.ch/entscheid/zh_sozialversicherungsgericht_ZL.2012.00081</w:t>
      </w:r>
    </w:p>
    <w:p>
      <w:r>
        <w:t>FR: ZH_SOZIALVERSICHERUNGSGERICHT ZL.2012.00081 du 11 janvier 2013</w:t>
      </w:r>
    </w:p>
    <w:p>
      <w:r>
        <w:t>IT: ZH_SOZIALVERSICHERUNGSGERICHT ZL.2012.00081 del 11 gennaio 2013</w:t>
      </w:r>
    </w:p>
    <w:p>
      <w:pPr>
        <w:pStyle w:val="Heading2"/>
      </w:pPr>
      <w:r>
        <w:t>Erwägungen</w:t>
      </w:r>
    </w:p>
    <w:p>
      <w:r>
        <w:rPr>
          <w:b/>
        </w:rPr>
        <w:t>E. 3</w:t>
      </w:r>
    </w:p>
    <w:p>
      <w:r>
        <w:t>3.1Â Â Â Â  Der Bundesrat hat gestÃ¼tzt auf die Delegationsnorm in Art. 9 Abs. 5 lit. h ELG in Art. 25a der Verordnung Ã¼ber die ErgÃ¤nzungsleistungen zur Alters-, Hinterlassenen- und Invalidenversicherung (ELV) den Begriff des Heims definiert als Einrichtung, die von einem Kanton als Heim anerkannt wird oder Ã¼ber eine kantonale Betriebsbewilligung verfÃ¼gt.</w:t>
      </w:r>
    </w:p>
    <w:p>
      <w:r>
        <w:t>Â Â Â Â Â Â Â Â  Anerkannte Heime im Kanton ZÃ¼rich im Sinne von Art. 25a Abs. 1 ELV sind unter anderem Einrichtungen, die auf der Spitalliste oder Pflegeheimliste nach Â§ 39b des Gesundheitsgesetzes vom 4. November 1962 (spÃ¤ter: Â§ 41 des Gesundheitsgesetzes vom 2. April 2007, GesG, und hernach aufgehoben durch das Spital- und Finanzierungsgesetz, SPFG) aufgefÃ¼hrt sind oder Einrichtungen mit Betriebsbewilligung nach Â§ 6 des Gesetzes Ã¼ber die Invalideneinrichtungen fÃ¼r erwachsene Personen vom 1. Oktober 2007</w:t>
      </w:r>
    </w:p>
    <w:p>
      <w:r>
        <w:t>(Â§ 1 lit. a f. der Zusatzleistungsverordnung, ZLV). GemÃ¤ss Â§ 35 ff. GesG bedarf es zum Betrieb eines Alters- und Pflegeheims einer gesundheitspolizeilichen Bewilligung der Gesundheitsdirektion.</w:t>
      </w:r>
    </w:p>
    <w:p>
      <w:r>
        <w:t>3.2Â Â Â Â  Der BeschwerdefÃ¼hrer wohnt seit dem 13. Januar 2012 in einem mÃ¶blierten Hotelappartement mit zwei Zimmern der A.___ AG. Im Preis von Fr. 118.-- pro Tag sind Serviceleistungen wie ein sogenannter ÂMaid-ServiceÂ (Betten machen, Reinigung, Abwaschen, Abfallentsorgung) sowie das Wechseln von Bad-, KÃ¼chen- und BettwÃ¤sche inbegriffen (Urk. 9/217).</w:t>
      </w:r>
    </w:p>
    <w:p>
      <w:r>
        <w:t>Â Â Â Â Â Â Â Â  Das A.___ verfÃ¼gt Ã¼ber Hotelappartements mit Reinigungsservice, welche ab einem Aufenthalt von fÃ¼nf Tagen bis zu lÃ¤ngeren Aufenthalten (90 Tage und lÃ¤nger) gemietet werden kÃ¶nnen, sowie Ã¼ber normale Hotelzimmer. Nach dem in ErwÃ¤gung 3.1 Dargelegten stellt das A.___ jedoch klarerweise kein Heim im Sinne von Art. 25a ELV dar.</w:t>
      </w:r>
    </w:p>
    <w:p>
      <w:r>
        <w:t>3.3Â Â Â Â  Damit behandelte die Beschwerdegegnerin den BeschwerdefÃ¼hrer richtigerweise nicht als Heimbewohner und legte ihrer Berechnung die anrechenbaren Ausgaben fÃ¼r nicht im Heim lebende Personen zugrunde. Sodann anerkannte die Beschwerdegegnerin zu Recht lediglich den gesetzlich vorgeschriebenen HÃ¶chstbetrag von Fr. 13Â200.-- als jÃ¤hrlichen Mietzins (vgl. Urk. 10/51, Berechnungsblatt). Da es sich dabei um einen gesetzlich vorgeschriebenen HÃ¶chstbetrag handelt, kÃ¶nnen die darÃ¼ber hinausgehenden Mietkosten von bis zu Fr.</w:t>
      </w:r>
    </w:p>
    <w:p>
      <w:r>
        <w:t>43Â070.-- jÃ¤hrlich nicht berÃ¼cksichtigt werden.</w:t>
      </w:r>
    </w:p>
    <w:p>
      <w:r>
        <w:t>Die ab MÃ¤rz 2012 berechneten Leistungen von monatlich total Fr. 2Â326.-- sind somit nicht zu beanstanden.</w:t>
      </w:r>
    </w:p>
    <w:p>
      <w:r>
        <w:t>Â Â Â Â Â Â Â Â  Dementsprechend ist die Beschwerde abzuweisen.</w:t>
      </w:r>
    </w:p>
    <w:p>
      <w:r>
        <w:t>4.Â Â Â Â Â Â</w:t>
      </w:r>
    </w:p>
    <w:p>
      <w:r>
        <w:t>4.1Â Â Â Â  Nach Gesetz und Praxis sind in der Regel die Voraussetzungen fÃ¼r die Bewilligung der unentgeltlichen ProzessfÃ¼hrung und VerbeistÃ¤ndung erfÃ¼llt, wenn der Prozess nicht aussichtslos, die Partei bedÃ¼rftig und die anwaltliche VerbeistÃ¤ndung notwendig oder doch geboten ist (BGE 103 V 46, 100 V 61, 98 V 115). Als aussichtslos sind Begehren anzusehen, bei denen die Gewinnaussichten betrÃ¤chtlich geringer sind als die Verlustgefahren und praktisch auszuschliessen ist, dass ihnen auch nur teilweise entsprochen werden kann (BGE 132 V 200 E. 4.1).</w:t>
      </w:r>
    </w:p>
    <w:p>
      <w:r>
        <w:t>4.2Â Â Â Â  Einerseits war der BeschwerdefÃ¼hrer in der Lage, den Prozess selber zu fÃ¼hren und namentlich eine gÃ¼ltige Beschwerde einzureichen. Andererseits ist das Begehren des BeschwerdefÃ¼hrers nach dem Gesagten (vgl. E. 3.2 f.) klarerweise als aussichtslos zu bezeichnen. Sodann beauftragte der BeschwerdefÃ¼hrer keinen Rechtsanwalt, weshalb keine Kosten angefallen sind und es mit der Feststellung sein Bewenden hat, dass fÃ¼r eine GewÃ¤hrung der unentgeltlichen RechtsverbeistÃ¤ndung kein Raum besteht.</w:t>
      </w:r>
    </w:p>
    <w:p>
      <w:r>
        <w:t>Das Gericht erkennt:</w:t>
      </w:r>
    </w:p>
    <w:p>
      <w:r>
        <w:t>1.Â Â Â Â Â Â Â Â  Die Beschwerde wird abgewiesen.</w:t>
      </w:r>
    </w:p>
    <w:p>
      <w:r>
        <w:t>2.Â Â Â Â Â Â Â Â  Das Verfahren ist kostenlos.</w:t>
      </w:r>
    </w:p>
    <w:p>
      <w:r>
        <w:t>3.Â Â Â Â Â Â Â Â  Zustellung gegen Empfangsschein an:</w:t>
      </w:r>
    </w:p>
    <w:p>
      <w:r>
        <w:t>- X.___</w:t>
      </w:r>
    </w:p>
    <w:p>
      <w:r>
        <w:t>- Y.___</w:t>
      </w:r>
    </w:p>
    <w:p>
      <w:r>
        <w:t>- Bundesamt fÃ¼r Sozialversicherungen</w:t>
      </w:r>
    </w:p>
    <w:p>
      <w:r>
        <w:t>- Sicherheitsdirektion Kanton ZÃ¼rich</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