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ZL.2012.00058 vom 9. Oktober 2012</w:t>
      </w:r>
    </w:p>
    <w:p>
      <w:r>
        <w:t>ZH Sozialversicherungsgericht, 2012-10-09, DE</w:t>
      </w:r>
    </w:p>
    <w:p>
      <w:r>
        <w:rPr>
          <w:b/>
        </w:rPr>
        <w:t xml:space="preserve">Quelle: </w:t>
      </w:r>
      <w:r>
        <w:t>https://mcp.opencaselaw.ch/entscheid/zh_sozialversicherungsgericht_ZL.2012.00058</w:t>
      </w:r>
    </w:p>
    <w:p>
      <w:r>
        <w:t>FR: ZH_SOZIALVERSICHERUNGSGERICHT ZL.2012.00058 du 9 octobre 2012</w:t>
      </w:r>
    </w:p>
    <w:p>
      <w:r>
        <w:t>IT: ZH_SOZIALVERSICHERUNGSGERICHT ZL.2012.00058 del 9 ottobre 2012</w:t>
      </w:r>
    </w:p>
    <w:p>
      <w:pPr>
        <w:pStyle w:val="Heading2"/>
      </w:pPr>
      <w:r>
        <w:t>Erwägungen</w:t>
      </w:r>
    </w:p>
    <w:p>
      <w:r>
        <w:rPr>
          <w:b/>
        </w:rPr>
        <w:t>E. 3</w:t>
      </w:r>
    </w:p>
    <w:p>
      <w:r>
        <w:t>3.1Â Â Â Â  Streitig und zu prÃ¼fen ist, welche Gemeinde, Z.___ oder B.___, fÃ¼r die Ausrichtung von Zusatzleistungen an Y.___ Ã¶rtlich zustÃ¤ndig ist. Die Frage beurteilt sich gestÃ¼tzt auf Art. 21 Abs. 2 ELG nach ZÃ¼rcher Recht und damit nach Â§ 21 Abs. 1 und Abs. 2 ZLG.</w:t>
      </w:r>
    </w:p>
    <w:p>
      <w:r>
        <w:t>3.2Â Â Â Â  Y.___ hatte bis zum Eintritt in das Alterswohnheim A.___, welches gemÃ¤ss der Pflegeliste des Kantons ZÃ¼rich als Heim anerkannt ist (vgl. Kanton ZÃ¼rich, Gesundheitsdirektion, Heime mit PflegeplÃ¤tzen und Altersheime Bezirk C.___; Urk. 3/4), also bis Ende MÃ¤rz 2012 ihren Lebensmittelpunkt und damit ihren zivilrechtlichen Wohnsitz in Z.___. ZustÃ¤ndig fÃ¼r die Ausrichtung der Zusatzleistungen ist nach Â§ 21 Abs. 2 ZLG somit die Gemeinde Z.___ und dies selbst dann, wenn der zivilrechtliche Wohnsitz nach dem Heimeintritt am Ort des Sitzes des Heimes begrÃ¼ndet wurde (vgl. WEL 1310.02).</w:t>
      </w:r>
    </w:p>
    <w:p>
      <w:r>
        <w:t>Â Â Â Â Â Â Â Â  Nach dem Gesagten bleibt die Gemeinde Z.___ zustÃ¤ndig fÃ¼r die Ausrichtung von Zusatzleistungen.</w:t>
      </w:r>
    </w:p>
    <w:p>
      <w:r>
        <w:t>3.3Â Â Â Â  Der Einwand der Beschwerdegegnerin, das Altersheim sei nicht als Heim im Sinne des ELG zu betrachten (Urk. 2/1 S. 3, Urk. 5 S. 1), kann nicht gehÃ¶rt werden. Nach Art. 25a ELV gelten als Heime Einrichtungen, die von der IV oder einem Kanton anerkannt werden oder die Ã¼ber eine kantonale Betriebsbewilligung verfÃ¼gen. Das Alterswohnheim A.___ fungiert einerseits auf der Liste des Kantons ZÃ¼rich betreffend Heime mit PflegeplÃ¤tzen (Urk. 3/4) und erhielt andererseits am 18. November 2010 von der kantonalen Gesundheitsdirektion eine Betriebsbewilligung (Urk. 3/9), erfÃ¼llt mithin sogar beide Voraussetzungen und gilt folglich als Heim im Sinne des ELG.</w:t>
      </w:r>
    </w:p>
    <w:p>
      <w:r>
        <w:t>Â Â Â Â Â Â Â Â  Ebenfalls unbeachtlich bleibt in diesem Zusammenhang das Vorbringen der Beschwerdegegnerin, es sei bei einem Altersheim weiterhin auf die WohnsitzbegrÃ¼ndung abzustellen (Urk. 2/1 S. 4, Urk. 5 S. 1 unten). Im von der Beschwerdegegnerin zitierten Bundesgerichtsentscheid BGE 127 V 237 hat das Bundesgericht die Lehre und Rechtsprechung zur Frage des zivilrechtlichen Wohnsitzes ausfÃ¼hrlich dargestellt- und selber festgestellt, dass die AnknÃ¼pfung an diesen bei Heimbewohnern unbefriedigend sei. Es bleibe aber Sache des Gesetzgebers, Abhilfe zu schaffen und gegebenenfalls ergÃ¤nzungsleistungsrechtlich eine vom zivilrechtlichen Wohnsitz abweichende LÃ¶sung vorzusehen (BGE 127 V 237 E. 2d; Carigiet/Koch, ErgÃ¤nzungsleistungen zur AHV/IV, 2. Aufl., 2009, S. 79). Dieser Aufforderung hat der Gesetzgeber mit dem ab Januar 2008 gÃ¼ltigen Art. 21 Abs. 1 ELG respektive Â§ 21 Abs. 2 ZLG Folge geleistet, weshalb es vorliegend fÃ¼r die Frage der ZustÃ¤ndigkeit unerheblich ist, dass die bereits ErgÃ¤nzungsleistungen beziehende Y.___ seit dem Heimeintritt vermutlich ihren Lebensmittelpunkt und damit ihren Wohnsitz neu in B.___ hat.</w:t>
      </w:r>
    </w:p>
    <w:p>
      <w:r>
        <w:t>3.4Â Â Â Â  Diese ErwÃ¤gungen fÃ¼hren zur Gutheissung der Beschwerde, weshalb der angefochtene Einspracheentscheid vom 20. Juni 2012 (Urk. 2/1) aufheben ist. Wie sich aus der VerfÃ¼gung vom 23. Juli 2012 (Urk. 6/81) ergibt, hat die SVA als ZL-DurchfÃ¼hrungsstelle der Gemeinde Z.___ die Zusatzleistungen zur AHV provisorisch festgesetzt und ausbezahlt. Es ist festzustellen, dass die Gemeinde Z.___ auch ab 1. April 2012 bis auf weiteres zur Ausrichtung von Zusatzleistungen an Y.___ zustÃ¤ndig ist.</w:t>
      </w:r>
    </w:p>
    <w:p>
      <w:r>
        <w:t>Das Gericht erkennt:</w:t>
      </w:r>
    </w:p>
    <w:p>
      <w:r>
        <w:t>1.Â Â Â Â Â Â Â Â  In Gutheissung der Beschwerde wird der Einspracheentscheid der Sozialversicherungsanstalt des Kantons ZÃ¼rich, Zusatzleistungen zur AHV/IV, vom 20. Juni 2012 aufgehoben, und es wird festgestellt, dass die Gemeinde Z.___ auch ab 1. April 2012 Â bis auf weiteres zur Ausrichtung von Zusatzleistungen an Y.___ zustÃ¤ndig ist.</w:t>
      </w:r>
    </w:p>
    <w:p>
      <w:r>
        <w:t>2.Â Â Â Â Â Â Â Â  Das Verfahren ist kostenlos.</w:t>
      </w:r>
    </w:p>
    <w:p>
      <w:r>
        <w:t>3.Â Â Â Â Â Â Â Â  Zustellung gegen Empfangsschein an:</w:t>
      </w:r>
    </w:p>
    <w:p>
      <w:r>
        <w:t>- X.___</w:t>
      </w:r>
    </w:p>
    <w:p>
      <w:r>
        <w:t>- Sozialversicherungsanstalt des Kantons ZÃ¼rich, Zusatzleistungen zur AHV/IV</w:t>
      </w:r>
    </w:p>
    <w:p>
      <w:r>
        <w:t>- Y.___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