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ZL.2012.00049 vom 4. September 2012</w:t>
      </w:r>
    </w:p>
    <w:p>
      <w:r>
        <w:t>ZH Sozialversicherungsgericht, 2012-09-04, DE</w:t>
      </w:r>
    </w:p>
    <w:p>
      <w:r>
        <w:rPr>
          <w:b/>
        </w:rPr>
        <w:t xml:space="preserve">Quelle: </w:t>
      </w:r>
      <w:r>
        <w:t>https://mcp.opencaselaw.ch/entscheid/zh_sozialversicherungsgericht_ZL.2012.00049</w:t>
      </w:r>
    </w:p>
    <w:p>
      <w:r>
        <w:t>FR: ZH_SOZIALVERSICHERUNGSGERICHT ZL.2012.00049 du 4 septembre 2012</w:t>
      </w:r>
    </w:p>
    <w:p>
      <w:r>
        <w:t>IT: ZH_SOZIALVERSICHERUNGSGERICHT ZL.2012.00049 del 4 settembre 2012</w:t>
      </w:r>
    </w:p>
    <w:p>
      <w:pPr>
        <w:pStyle w:val="Heading2"/>
      </w:pPr>
      <w:r>
        <w:t>Erwägungen</w:t>
      </w:r>
    </w:p>
    <w:p>
      <w:r>
        <w:rPr>
          <w:b/>
        </w:rPr>
        <w:t>E. 2</w:t>
      </w:r>
    </w:p>
    <w:p>
      <w:r>
        <w:t>2.1Â Â Â Â  Die Beschwerdegegnerin ging im angefochtenen Einspracheentscheid vom 3. Mai 2012 davon aus, dass das Einfordern einer Zusammenstellung aller Aktiven und Passiven, unterteilt nach bestrittenen und anerkannten Forderungen, ein zumutbares und verhÃ¤ltnismÃ¤ssiges Vorgehen zur Bemessung des VermÃ¶gens des BeschwerdefÃ¼hrers dargestellt habe (Urk. 2 S. 4).</w:t>
      </w:r>
    </w:p>
    <w:p>
      <w:r>
        <w:t>2.2Â Â Â Â  Der BeschwerdefÃ¼hrer bringt hiegegen vor, dass es ihm nicht mÃ¶glich gewesen sei, der Aufforderung der Beschwerdegegnerin nachzukommen, da der definitive Kollokationsplan im Konkursverfahren noch nicht vorgelegen habe, und da selbst der definitive Kollokationsplan, umso mehr aber die von der Beschwerdegegnerin verlangten Aufstellungen der Aktiven und Passiven, keinen Aussagewert hÃ¤tten. Massgeblich sei vielmehr der VermÃ¶gensstand nach Schluss des Konkursverfahrens (Urk. 1 S. 4).</w:t>
      </w:r>
    </w:p>
    <w:p>
      <w:r>
        <w:t>2.3Â Â Â Â  Streitig ist, ob die Beschwerdegegnerin zu Recht ihre Erhebungen eingestellt und Nichteintreten beschlossen hat, nachdem der BeschwerdefÃ¼hrer sich geweigert hatte, die verlangten Unterlagen beim Konkursamt einzuholen und der Beschwerdegegnerin einzureichen.</w:t>
      </w:r>
    </w:p>
    <w:p>
      <w:r>
        <w:rPr>
          <w:b/>
        </w:rPr>
        <w:t>E. 3</w:t>
      </w:r>
    </w:p>
    <w:p>
      <w:r>
        <w:t>3.1Â Â Â Â  Der erstinstanzliche Sozialversicherungsprozess ist vom Untersuchungsgrundsatz beherrscht (Art. 61 lit. c des Bundesgesetzes Ã¼ber den Allgemeinen Teil des Sozialversicherungsrechts (ATSG). Danach hat das Gericht von Amtes wegen fÃ¼r die richtige und vollstÃ¤ndige AbklÃ¤rung des rechtserheblichen Sachverhaltes zu sorgen. Dieser Grundsatz gilt indessen nicht uneingeschrÃ¤nkt; er findet sein Korrelat in den Mitwirkungspflichten der Parteien (BGE 125 V 193 E. 2 S. 195; 122 V 157 E. 1a S. 158; vgl. BGE 130 I 180 E. 3.2 S. 183).</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 S. 264).</w:t>
      </w:r>
    </w:p>
    <w:p>
      <w:r>
        <w:t>3.2Â Â Â Â  Wer Versicherungsleistungen beansprucht, muss unentgeltlich alle AuskÃ¼nfte erteilen, die zur AbklÃ¤rung des Anspruchs und zur Festsetzung der Versicherungsleistungen erforderlich sind (Art. 28 Abs. 2 ATSG). Laut Art. 43 Abs. 1 Satz 1 ATSG prÃ¼ft der VersicherungstrÃ¤ger die Begehren, nimmt die notwendigen AbklÃ¤rungen von Amtes wegen vor und holt die erforderlichen AuskÃ¼nfte ein. Soweit Ã¤rztliche oder fachliche Untersuchungen fÃ¼r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VersicherungstrÃ¤ger auf Grund der Akten verfÃ¼gen oder die Erhebungen einstellen und Nichteintreten beschliessen. Er muss diese Personen vorher schriftlich mahnen und auf die Rechtsfolgen hinweisen; ihnen ist eine angemessene Bedenkzeit einzurÃ¤umen. Gegebenenfalls kann der VersicherungstrÃ¤ger das von der versicherten Person eingereichte Gesuch mit der BegrÃ¼ndung abweisen, der Sachverhalt, aus dem diese ihre Rechte ableiten wolle, sei nicht erwiesen (Urteil des Bundesgerichts 8C_733/2010 vom 10. Dezember 2010 E. 3.1; BGE 117 V 261 E. 3b).</w:t>
      </w:r>
    </w:p>
    <w:p>
      <w:r>
        <w:t>3.3Â Â Â Â  Nach dem Wortlaut von Art. 43 Abs. 3 ATSG liegt eine Verletzung der Mitwirkungspflicht nur dann vor, wenn sie in unentschuldbarer Weise erfolgt ist. Sie muss somit schuldhaft sein. Dies ist dann der Fall, wenn kein Rechtfertigungsgrund erkennbar ist oder sich das Verhalten der versicherten Person als vÃ¶llig unverstÃ¤ndlich erweist (Ueli Kieser, ATSG-Kommentar, 2. Auflage, ZÃ¼rich 2009, N 51 zu Art. 43). Die in Art. 43 Abs. 3 ATSG vorgesehenen Sanktionen setzen sodann voraus, dass die vergeblich einverlangten Informationen fÃ¼r die AbklÃ¤rung der VerhÃ¤ltnisse oder die Festsetzung der Leistungen erforderlich, nicht ohne Ã¼bermÃ¤ssigen Aufwand anderswo erhÃ¤ltlich und die in schuldhafter Verletzung der Mitwirkungspflicht verweigerten AuskÃ¼nfte fÃ¼r die Beurteilung des in Frage stehenden Leistungsanspruchs der versicherten Person relevant sind (Urteil des Bundesgerichts 9C_345/2007 vom 26. MÃ¤rz 2008 E. 4).</w:t>
      </w:r>
    </w:p>
    <w:p>
      <w:r>
        <w:t>3.4Â Â Â Â  Mit Schreiben vom 19. August 2011 hat die Beschwerdegegnerin den BeschwerdefÃ¼hrer gemahnt, den Kollokationsplan beziehungsweise, solange dieser noch nicht definitiv sei, eine Aufstellung des Konkursamtes betreffend die Aktiven und die anerkannten und bestrittenen Passiven im Konkurs Ã¼ber ihn einzureichen. Gleichzeitig wies die Beschwerdegegnerin den BeschwerdefÃ¼hrer im Sinne von Art. 43 Abs. 3 ATSG auf die Rechtsfolgen hin und rÃ¤umte ihm eine angemessene Bedenkzeit von einer Dauer von mehr als 30 Tagen ein. Das Mahn- und Bedenkzeitverfahren wurde daher korrekt durchgefÃ¼hrt.</w:t>
      </w:r>
    </w:p>
    <w:p>
      <w:r>
        <w:rPr>
          <w:b/>
        </w:rPr>
        <w:t>E. 4</w:t>
      </w:r>
    </w:p>
    <w:p>
      <w:r>
        <w:t>4.1Â Â Â Â  Ãber den BeschwerdefÃ¼hrer wurde noch vor seiner Anmeldung zum Bezug von ErgÃ¤nzungs- und Zusatzleistungen am 29. Juni 2009 der Konkurs erÃ¶ffnet (vgl. Urk. 12/2/4). Der BeschwerdefÃ¼hrer reichte mit der Anmeldung Kopien eines provisorischen Konkursinventars (Urk. 12/2/2) sowie eine provisorische Aufstellung der Konkursforderungen (Urk. 12/2/3) ein. In der Folge forderte die Beschwerdegegnerin den BeschwerdefÃ¼hrer auf, den Kollokationsplan, beziehungsweise eine Aufstellung des Konkursamtens betreffend die Aktiven und die anerkannten und bestrittenen Passiven im Konkurs Ã¼ber ihn einzureichen (Urk. 12/7). Im Amtsblatt des Kantons ZÃ¼rich wurde am 3. August 2012 die Auflage des Kollokationsplans und das Konkursinventars im Konkurs Ã¼ber den BeschwerdefÃ¼hrer verÃ¶ffentlicht (Amtsblatt des Kantons ZÃ¼rich Nr. 31 vom 3. August 2012, Urk.18).</w:t>
      </w:r>
    </w:p>
    <w:p>
      <w:r>
        <w:t>4.2Â Â Â Â  Im Konkurs als Generalexekution bewirkt die KonkurserÃ¶ffnung mit Ausnahme der unpfÃ¤ndbaren GegenstÃ¤nde (Art. 197 Abs. 1 des Bundesgesetzes Ã¼ber Schuldbetreibung und Konkurs, SchKG) grundsÃ¤tzlich den Konkursbeschlag Ã¼ber das gesamte VermÃ¶gen des Schuldners. Der Konkurs Ã¤ndert die Rechtslage des Schuldners. Er bleibt zwar auch nach der KonkurserÃ¶ffnung RechtstrÃ¤ger seines VermÃ¶gens, insbesondere EigentÃ¼mer seiner Sachen und GlÃ¤ubiger seiner Forderungen. Er verliert aber grundsÃ¤tzlich das Recht, Ã¼ber sein VermÃ¶gen zu verfÃ¼gen (BGE 114 III 60 E. 2b). VerfÃ¼gungen, die der Schuldner nach der KonkurserÃ¶ffnung vornimmt, sind deshalb den KonkursglÃ¤ubigern gegenÃ¼ber ungÃ¼ltig (Art. 204 Abs. 1 SchKG). Wenn also der konkursite Schuldner selber eine bestehende Schuld bezahlt oder erlÃ¤sst, dann kann die Konkursverwaltung darÃ¼ber hinweggehen, wie wenn die Handlungen des Schuldners nicht geschehen wÃ¤ren. Die entÃ¤usserten Werte kÃ¶nnen bedingungslos wieder beigebracht werden (Kurt Amonn/Fridolin Walther, Grundriss des Schuldbetreibungs- und Konkursrechts, 8. Auflage, Bern 2008, Â§ 41 N. 8).</w:t>
      </w:r>
    </w:p>
    <w:p>
      <w:r>
        <w:t>4.3Â Â Â Â  Die materielle Rechtslage zwischen dem Schuldner und dem GlÃ¤ubiger Ã¤ndert sich mit der ErÃ¶ffnung des Konkurses grundsÃ¤tzlich nicht. Der Konkurs bewirkt keine Sukzession der Masse in die Rechte des Schuldners. Im Gegensatz zu den Masseverbindlichkeiten, die erst im Laufe des Konkursverfahrens entstehen und fÃ¼r welche die Masse als SondervermÃ¶gen gegenÃ¼ber den GlÃ¤ubigern haftet, bleibt der Konkursit in voller HÃ¶he Schuldner der Konkursforderungen, welche bereits vor dem Konkurs entstanden sind, was sich unter anderem darin zeigt, dass diese in ihrem bisherigen Bestand und ihrer bisherigen HÃ¶he geschuldet sind, wenn der Konkurs widerrufen wird (Art. 195 Abs. 1 SchKG; BGE 132 III 432 E. 2.3 f.).</w:t>
      </w:r>
    </w:p>
    <w:p>
      <w:r>
        <w:t>Â 4.4Â Â Â  Im Konkursinventar werden sÃ¤mtliche VermÃ¶gensstÃ¼cke des Schuldners mit ihrem SchÃ¤tzwert verzeichnet (Art. 227 SchKG), wobei die KompetenzstÃ¼cke (Art. 92 SchKG) dem Schuldner zur freien VerfÃ¼gung Ã¼berlassen, aber gleichwohl im Inventar aufgefÃ¼hrt werden (Art. 224 SchKG).</w:t>
      </w:r>
    </w:p>
    <w:p>
      <w:r>
        <w:t>Â Â Â Â Â Â Â Â  Beim Kollokationsplan handelt es sich um den Plan fÃ¼r die Rangordnung der KonkursglÃ¤ubiger (Art. 247 Abs. 1 SchKG). Er gibt Auskunft darÃ¼ber, wie die einzelnen Konkursforderungen im Konkursverfahren in Bezug auf ihren Bestand, Betrag und Rang behandelt werden und Ã¤ussert sich zur Anerkennung oder Bestreitung der Forderungen. Im summarischen Verfahren wird das Konkursinventar zusammen mit dem Kollokationsplan aufgelegt (Art. 231 Abs. 3 Ziff. 3 SchKG). In seiner in Rechtskraft erwachsenen Fassung bildet der Kollokationsplan dereinst Grundlage fÃ¼r die Verteilung des VerwertungserlÃ¶ses. Nach der Rechtsprechung gibt der Kollokationsplan Auskunft darÃ¼ber, wie die von den GlÃ¤ubigern geltend gemachten Forderungen bestandes-, betrags- und rangmÃ¤ssig im Konkurs der Gemeinschuldnerin zu behandeln sind. Eine Ã¼ber das konkrete Konkursverfahren hinausgehende materiellrechtliche Bedeutung kommt der Kollokation nicht zu. Dem rechtskrÃ¤ftigen Kollokationsplan kommt keine Ã¼ber den Konkurs hinausgehenden Rechtswirkungen zu, weil das Kollokationsverfahren nicht den Bestand oder Nichtbestand von Forderungen betrifft sondern die Frage, inwieweit angemeldete GlÃ¤ubigeransprÃ¼che bei der Verteilung der Aktivmasse zu berÃ¼cksichtigen sind (Urteil des Bundesgerichts 4C.275/2000 vom 24. April 2001 E. 3a, BGE 122 III 195 E. 9b, Dieter Hierholzer in: Adrian Staehelin/Thomas Bauer/Daniel Staehelin [Hrsg.], Basler Kommentar SchKG, Band II Art. 159-352 SchKG, 2. Auflage, Basel 2010, Art. 247 SchKG N 115).</w:t>
      </w:r>
    </w:p>
    <w:p>
      <w:r>
        <w:rPr>
          <w:b/>
        </w:rPr>
        <w:t>E. 5</w:t>
      </w:r>
    </w:p>
    <w:p>
      <w:r>
        <w:t>5.1Â Â Â Â  Da die ErgÃ¤nzungsleistungen die Deckung der laufenden LebensbedÃ¼rfnisse bezwecken, gilt der Grundsatz, dass bei der Anspruchsberechnung nur tatsÃ¤chlich vereinnahmte EinkÃ¼nfte und vorhandene VermÃ¶genswerte zu berÃ¼cksichtigen sind, Ã¼ber die der Leistungsansprecher ungeschmÃ¤lert verfÃ¼gen kann; vorbehalten bleibt der Tatbestand des VermÃ¶gensverzichts (BGE 127 V 248 E. 4a, 122 V 19 E. 5a,).</w:t>
      </w:r>
    </w:p>
    <w:p>
      <w:r>
        <w:t>5.2Â Â Â Â  Aus diesem Grunde kann ein VermÃ¶genswert, an dem Nutzniessung besteht, dem Nutzniesser nicht als VermÃ¶gen angerechnet werden. Ebensowenig kann ein solcher VermÃ¶genswert beim EigentÃ¼mer als VermÃ¶gen berÃ¼cksichtigt werden, weil andernfalls auf dem Umweg Ã¼ber den VermÃ¶gensverzehr Einkommen angerechnet wÃ¼rde, das dem EigentÃ¼mer angesichts der dem Nutzniesser zustehenden Rechte gar nicht zufliessen kann. Denn der Nutzniesser hat den vollen Genuss an der fremden Sache, wird aber nicht deren EigentÃ¼mer, weil er sie zwar gebrauchen und geniessen, nicht aber rechtlich oder tatsÃ¤chlich darÃ¼ber verfÃ¼gen darf. Der Kapitalwert einer Nutzniessung kann dem Nutzniesser nicht als VermÃ¶gen angerechnet werden, da er dem EL-rechtlichen VermÃ¶gensbegriff nicht entspricht (BGE 122 V 394 E. 6).</w:t>
      </w:r>
    </w:p>
    <w:p>
      <w:r>
        <w:t>5.3Â Â Â Â  Des Gleichen sind nicht verwertbare VermÃ¶genswerte oder VermÃ¶genswerte, die sich im Ausland befinden und die oder deren VerkaufserlÃ¶s nicht in die Schweiz transferierbar sind, bei der EL-Bemessung nicht als VermÃ¶gen zu berÃ¼cksichtigen (Urteil des Bundesgerichts P 82/02 vom 26. Mai 2003 E. 3).</w:t>
      </w:r>
    </w:p>
    <w:p>
      <w:r>
        <w:t>5.4Â Â Â Â  Bei den wÃ¤hrend eines Konkursverfahrens vom Konkursbeschlag betroffenen VermÃ¶genswerten handelt es sich um eine der Nutzniessung vergleichbare Rechtslage. Ãhnlich wie bei der Nutzniessung bleibt der Konkursschuldner nach der KonkurserÃ¶ffnung zwar EigentÃ¼mer seines VermÃ¶gens, es fehlt ihm indes das Recht, Ã¼ber sein VermÃ¶gen zu verfÃ¼gen. Bei den vom Konkursbeschlag betroffenen VermÃ¶genswerten handelt es sich daher um VermÃ¶gen, Ã¼ber das der Konkursschuldner nicht ungeschmÃ¤lert verfÃ¼gen kann. Das vom Konkursbeschlag betroffene VermÃ¶gen kann bei der EL-Bemessung eines Konkursiten diesem daher nicht als VermÃ¶gen angerechnet werden. Wenn indes am Schluss des Konkursverfahrens ein Ãberschuss zu Gunsten des ehemaligen Konkursschuldners resultiert, ist das VermÃ¶gen im Umfang des Ãberschusses bei der EL-Bemessung zu berÃ¼cksichtigen und dem ehemaligen Konkursiten anzurechnen.</w:t>
      </w:r>
    </w:p>
    <w:p>
      <w:r>
        <w:rPr>
          <w:b/>
        </w:rPr>
        <w:t>E. 6</w:t>
      </w:r>
    </w:p>
    <w:p>
      <w:r>
        <w:t>6.1Â Â Â Â  Nach Gesagtem handelt es sich daher sowohl beim Kollokationsplan als auch bei den weiteren von der Beschwerdegegnerin mit Schreiben vom 19. August 2011 vom BeschwerdefÃ¼hrer einverlangten Aufstellungen des Konkursamtes Ã¼ber die Aktiven und Passiven im Konkurs um Unterlagen, welche zur Bemessung des dem BeschwerdefÃ¼hrer bei der EL-Bemessung anzurechnenden VermÃ¶gens nicht geeignet waren. Denn, wie erwÃ¤hnt (E. 4.4), kommt selbst einem rechtskrÃ¤ftigen Kollokationsplan keine Ã¼ber den Konkurs hinausgehenden Rechtswirkungen zu. Die Beschwerdegegnerin wÃ¤re daher gehalten gewesen, bis zum Schluss des Konkursverfahrens beziehungsweise bis zum Vorliegen der rechtskrÃ¤ftigen Schlussrechnung (Art. 263 Abs. 1 SchKG) im Konkurs Ã¼ber den BeschwerdefÃ¼hrer zuzuwarten. Falls in der Schlussrechnung des Konkurses fÃ¼r den BeschwerdefÃ¼hrer ein Ãberschuss resultieren sollte, wÃ¤re dieser dem BeschwerdefÃ¼hrer bei der EL-Bemessung als VermÃ¶gen anzurechnen.</w:t>
      </w:r>
    </w:p>
    <w:p>
      <w:r>
        <w:t>6.2Â Â Â Â  Unter diesen UmstÃ¤nden waren die vom BeschwerdefÃ¼hrer am 19. August 2011 einverlangten Unterlagen zur AbklÃ¤rung des Leistungsanspruchs weder erforderlich noch tauglich. Demzufolge hat der BeschwerdefÃ¼hrer, welcher die beantragten Unterlagen nicht einreichte, den Tatbestand der schuldhaften Verletzung von Mitwirkungspflichten gemÃ¤ss Art. 43 Abs. 3 ATSG nicht erfÃ¼llt. Mangels einer unentschuldbaren Verletzung von Mitwirkungspflichten im Sinne von Art. 43 Abs. 3 ATSG war die Beschwerdegegnerin daher nicht berechtigt, die Erhebungen einzustellen und ein Nichteintreten zu beschliessen.</w:t>
      </w:r>
    </w:p>
    <w:p>
      <w:r>
        <w:t>6.3Â Â Â Â  Die Beschwerdegegnerin, an welche die Sache zur ergÃ¤nzenden AbklÃ¤rung des Sachverhalts zurÃ¼ckzuweisen ist, wird daher den Schluss des Konkursverfahrens im Konkurs Ã¼ber den BeschwerdefÃ¼hrer abwarten und anschliessend entweder gemÃ¤ss dem Untersuchungsgrundsatz beim Konkursamt die rechtskrÃ¤ftige Schlussrechnung des Konkurses einholen oder den BeschwerdefÃ¼hrer auffordern, ihr diese in Nachachtung der ihm obliegenden Mitwirkungspflicht einzureichen. In diesem Sinne ist die Beschwerde daher gutzuheissen.</w:t>
      </w:r>
    </w:p>
    <w:p>
      <w:r>
        <w:t>7.Â Â Â Â Â Â  Bei diesem Ausgang des Verfahrens erweist sich das Gesuch des BeschwerdefÃ¼hrers um unentgeltliche Rechtsvertretung als gegenstandslos.</w:t>
      </w:r>
    </w:p>
    <w:p>
      <w:r>
        <w:t>Â Â Â Â Â Â Â Â  Dem BeschwerdefÃ¼hrer ist keine ProzessentschÃ¤digung zuzusprechen, da sein Arbeitsaufwand und seine Umtriebe im vorliegenden Verfahren nicht den Rahmen dessen Ã¼berschritten, was der Einzelne zumutbarerweise nebenbei zur Besorgung seiner persÃ¶nlichen Angelegenheiten auf sich zu nehmen hat.</w:t>
      </w:r>
    </w:p>
    <w:p>
      <w:r>
        <w:t>Das Gericht erkennt:</w:t>
      </w:r>
    </w:p>
    <w:p>
      <w:r>
        <w:t>1.Â Â Â Â Â Â Â Â  Die Beschwerde wird in dem Sinne gutgeheissen, dass der angefochtene Einspracheentscheid vom 3. Mai 2012 aufgehoben und die Sache an die Y.___, Â zurÃ¼ckgewiesen wird, damit diese, nach erfolgter AbklÃ¤rung im Sinne der ErwÃ¤gungen, neu verfÃ¼ge.</w:t>
      </w:r>
    </w:p>
    <w:p>
      <w:r>
        <w:t>2.Â Â Â Â Â Â Â Â  Das Verfahren ist kostenlos.</w:t>
      </w:r>
    </w:p>
    <w:p>
      <w:r>
        <w:t>3.Â Â Â Â Â Â Â Â  Zustellung gegen Empfangsschein an:</w:t>
      </w:r>
    </w:p>
    <w:p>
      <w:r>
        <w:t>- X.___</w:t>
      </w:r>
    </w:p>
    <w:p>
      <w:r>
        <w:t>-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