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ZL.2012.00034 vom 4. Juli 2013</w:t>
      </w:r>
    </w:p>
    <w:p>
      <w:r>
        <w:t>ZH Sozialversicherungsgericht, 2013-07-04, DE</w:t>
      </w:r>
    </w:p>
    <w:p>
      <w:r>
        <w:rPr>
          <w:b/>
        </w:rPr>
        <w:t xml:space="preserve">Quelle: </w:t>
      </w:r>
      <w:r>
        <w:t>https://mcp.opencaselaw.ch/entscheid/zh_sozialversicherungsgericht_ZL.2012.00034</w:t>
      </w:r>
    </w:p>
    <w:p>
      <w:r>
        <w:t>FR: ZH_SOZIALVERSICHERUNGSGERICHT ZL.2012.00034 du 4 juillet 2013</w:t>
      </w:r>
    </w:p>
    <w:p>
      <w:r>
        <w:t>IT: ZH_SOZIALVERSICHERUNGSGERICHT ZL.2012.00034 del 4 luglio 2013</w:t>
      </w:r>
    </w:p>
    <w:p>
      <w:pPr>
        <w:pStyle w:val="Heading2"/>
      </w:pPr>
      <w:r>
        <w:t>Erwägungen</w:t>
      </w:r>
    </w:p>
    <w:p>
      <w:r>
        <w:rPr>
          <w:b/>
        </w:rPr>
        <w:t>E. 3</w:t>
      </w:r>
    </w:p>
    <w:p>
      <w:r>
        <w:t>3.1???? Die f?r den nunmehr strittigen Zeitraum vom 1. Dezember 2010 bis 30. Sep-tember 2011 geltende Verf?gung vom 26. September 2011 und dem diese teilweise best?tigendem Einspracheentscheid vom 2. April 2012 legte die Beschwerdegegnerin folgende Bemessungsgrundlagen zugrunde (Urk. 19/41/4):</w:t>
      </w:r>
    </w:p>
    <w:p>
      <w:r>
        <w:t>???????? Bei den Einnahmen rechnete die Beschwerdegegnerin nebst den unbestritten gebliebenen AHV-Rente und Pensionsleistungen von Fr. 26?784.-- beziehungsweise Fr. 14?246.-- den Betrag auf Fr. 12?926.--. Dieser setzte sich zusammen aus der zu einem erbrechtlichen Anteil von f?nf Sechstel geh?renden Liegenschaft von Fr. 166?000.--, ausgehend von einem gesch?tzten Verkehrswert von Fr. 200?000.--, reduziert um die anteilsm?ssige Hypothekarschuld von Fr. 100?000.-- (5/6 von Fr. 120?000.--). Das so ermittelte Reinverm?gen von Fr. 89?631.-- wurde reduziert um den Freibetrag von Fr. 25?000.-- und zu 1/5 angerechnet, was schliesslich zum Betrag von Fr. 12?926.-- f?hrte. Hinzu kam ein Bruttoertrag der Liegenschaft gem?ss den Zahlen von 2009 mit Fr. 10?000.--. Nach Abzug der Hypothekarzinsen von Fr. 3?000.-- und des Pauschalbetrages von 20 % f?r Geb?udeunterhaltskosten gem?ss der gesetzlichen Bestimmung von Art. 16 Abs. 1 ELV sind f?nf Sechstel davon im Betrag von Fr. 4?167.-- als Liegenschaftsertrag ber?cksichtigt worden.</w:t>
      </w:r>
    </w:p>
    <w:p>
      <w:r>
        <w:t>???????? Als Ausgaben anerkannte die Beschwerdegegnerin die Heimkosten von Fr. 57?926.-- und die pers?nlichen Auslagen von Fr. 5?000.-- sowie Fr. 4?548.-- f?r die obligatorische Krankenversicherung.</w:t>
      </w:r>
    </w:p>
    <w:p>
      <w:r>
        <w:t>3.2???? Die Beschwerdegegnerin erwog, dass betreffend des Kaufpreises der Liegenschaft eine Verkehrswertsch?tzung in den Akten liege, in welcher ein Verkaufswert von Fr. 206?000.-- gesch?tzt worden sei. Ausgehend von einem Verkehrswert von Fr. 200?000.--, reduziert um den Erbanteil der Beschwerdef?hrerin von 5/6 im Betrag von Fr. 166?000.--, sei demnach bei den Verm?genswerten in der angefochtenen Verf?gung vom 26. September 2011 kein willk?rlicher Betrag festgesetzt worden. Ausserdem sei der nach Art. 16 ELV ausschliesslich vorgesehene Pauschalabzug f?r die Geb?udeunterhaltskosten gesetzm?ssig. Insbesondere k?nnten Geb?udeunterhaltskosten, die zusammen mit den Hypothekarzinsen den Bruttoertrag der Liegenschaft ?bersteigen, aufgrund von Art. 10 Abs. 3 lit. b ELG nicht als Schulden angerechnet werden (Ur. 19/40 S. 2).</w:t>
      </w:r>
    </w:p>
    <w:p>
      <w:r>
        <w:t>3.3???? Die Beschwerdef?hrerin machte geltend, sie erachte die Berechnung der Zusatzleistungen ab dem Oktober 2011 als korrekt, hingegen seien die Berechnungen vor diesem Datum nicht angepasst worden. Namentlich sei der Wert der Liegenschaft massiv ?berh?ht, da am Ort der Liegenschaft ein ?berangebot an g?nstigem Wohnraum bestehe und selbst f?r einen Verkaufspreis von Fr. 180?000.-- sich keine Interessenten h?tten finden lassen. Trotzdem sei der Preis so hoch angesetzt worden, um die ?brigen Miterben nicht zu ?bervorteilen (Urk. 15). Ausserdem verlangte sie sinngem?ss die Ber?cksichtigung der Buchhaltungsabschl?sse der Erbengemeinschaft B.___ bei der Verm?gensanrechnung (Urk. 1 S. 2, Urk. 15).</w:t>
      </w:r>
    </w:p>
    <w:p>
      <w:r>
        <w:t>3.4???? Somit bleibt vorliegend der Wert der Liegenschaft in der Erbengemeinschaft B.___ zu ermitteln sowie die H?he des Reinverm?gens der Beschwerdef?hrerin.</w:t>
      </w:r>
    </w:p>
    <w:p>
      <w:r>
        <w:t>???????? Unbestritten und mit der Rechtslage ?bereinstimmend (vgl. vorstehend E. 2.1-3) sind hingegen die ?brigen Berechnungspositionen, namentlich die anerkannten Einnahmen (Verm?gensertrag, Rentenleistungen, Pr?mienverbilligung) und Ausgaben (Lebensbedarf) gem?ss Verf?gung vom 26. September 2011 (Urk. 19/41/1). Da die einzelnen Positionen der Berechnung der Zusatzleistungen Begr?ndungselemente der Verf?gung und allenfalls des Einspracheentscheides (Teilaspekte des verf?gungsweise festgelegten Rechtsverh?ltnisses) darstellen, pr?ft das kantonale Versicherungsgericht somit nicht beanstandete Berechnungspositionen nur, wenn hierzu aufgrund der Vorbringen in der Beschwerde oder anderer sich aus den Akten ergebender Anhaltspunkte hinreichender Anlass besteht (BGE 125 V 413 E. 2b und 2c), was vorliegend jedoch - wie dargelegt - nicht der Fall ist.</w:t>
      </w:r>
    </w:p>
    <w:p>
      <w:r>
        <w:rPr>
          <w:b/>
        </w:rPr>
        <w:t>E. 4</w:t>
      </w:r>
    </w:p>
    <w:p>
      <w:r>
        <w:t>4.1???? Strittig in Bezug auf das zu ber?cksichtigende Verm?gen ist der Anrechnungswert der 3-Zimmer-Wohnung am Zedernweg 5 in Z.___, welche im Eigentum der Erbengemeinschaft der Schwester der Beschwerdef?hrerin, A.___, stand, an welcher auch der Ehegatte der Beschwerdef?hrerin, B.___, beteiligt war. Nach seinem Tod im Mai 2003 trat an seine Stelle die Erbengemeinschaft B.___ (Urk. 19/6j, Urk. 19/7c). Nach dem Ausschied ihres Bruders aus der Erbengemeinschaft am 12. Oktober 2004 belief sich der der Erbanteil der Beschwerdef?hrerin auf 5/6 des Nachlasses (Urk. 19/7c). Eine Verkehrswertsch?tzung mit Stichtag September 1998 ergab einen Verkehrswert von Fr. 206?000.-- (Urk. 19/7). Per 1. Oktober 2011 ?bernahm der Sohn der Beschwerdef?hrerin und Miterbe der Erbengemeinschaft die Wohnung zu einem ?bernahmewert von Fr. 200?000.-- (Urk. 19/21b).</w:t>
      </w:r>
    </w:p>
    <w:p>
      <w:r>
        <w:t>4.2???? Gem?ss Art. 17 Abs. 4 ELV werden Liegenschaften und Wohnungen einer EL-berechtigten Person, welche diese nicht zu eigenen Wohnzwecken n?tzt, zum Verkehrswert angerechnet (vgl. vorstehend E. 2.2). Der Verkehrswert entspricht dem Marktwert, d.h. dem mutmasslichem Erl?s, der auf dem freien Markt erzielbar w?re (Carigiet/Koch, a.a.O., S. 171). Dieser belief sich gem?ss der in den Akten liegenden Verkehrswertsch?tzung aus dem Jahre 1998 auf Fr. 206?000.-- (Urk. 19/7). Wie die Beschwerdef?hrerin geltend machte, konnte die Wohnung nicht zum gesch?tzten Verkehrswert ver?ussert werden beziehungsweise es liessen sich keine Interessenten finden, weshalb die Wohnung schliesslich von ihrem Sohn ?zu einem Verkaufspreis von Fr. 200?000.-- ?bernommen wurde (vgl. Urk. 15 S. 1 Ziff. 1). Im Lichte dieser Umst?nde ist nicht zu beanstanden, dass die Beschwerdegegnerin in der angefochtenen Verf?gung vom 26. September 2011 (Urk. 19/41/1) beziehungsweise im Einspracheentscheid vom 2. April 2012 (Urk. 2) auf den ?bernahmewert von Fr. 200?000.-- abgestellt hat.</w:t>
      </w:r>
    </w:p>
    <w:p>
      <w:r>
        <w:t>4.3???? Eine differenzierte Betrachtungsweise ist jedoch in Bezug auf die zu ber?ck-sichtigenden Schulden angezeigt. Die Beschwerdegegnerin stellte sich auf den Standpunkt, Geb?udeunterhaltskosten, die zusammen mit den Hypothekarzinsen den Bruttoertrag der Liegenschaft ?bersteigen, k?nnten aufgrund von Art. 10 Abs. 3 lit. b ELG nicht als Schulden angerechnet werden (Urk. 18 S. 2 unten). Die fragliche Bestimmung bezieht sich jedoch auf die anrechenbaren Ausgaben und dient nicht zur Ermittlung des zu ber?cksichtigenden Verm?gens, weshalb diese vorliegend nicht anwendbar ist.</w:t>
      </w:r>
    </w:p>
    <w:p>
      <w:r>
        <w:t>???????? In diesem Zusammenhang gilt es anzumerken, dass sich die fragliche Wohnung w?hrend der strittigen Zeitperiode noch im Eigentum der Erbengemeinschaft B.___ befand und daher der Anteilswert der Beschwerdef?hrerin an der gesamten unverteilten Erbschaft zu ber?cksichtigen ist und nicht nur die Wohnung als solche, was bedeutet, dass vom angerechneten Verm?gen auch die belegten Schulden der Erbengemeinschaft in Abzug zu bringen sind. Es kann nicht angehen, die Wohnung als einziges Aktivum zu ber?cksichtigen und lediglich die Hypothekarschuld als abzugsf?hige Gr?sse zuzulassen, wie es die Beschwerdegegnerin getan hat und dabei die Tatsache, dass die Wohnung zum strittigen Zeitpunkt im Eigentum einer Erbengemeinschaft stand, ausser Acht zu lassen. Dies aus dem Grund, da bei unverteilten Erbschaften der zustehende quotenm?ssige Anteil der EL-berechtigten Person abz?glich der Schulden, mithin der Nettonachlass, bei der EL-Berechnung ber?cksichtigt wird. Nicht anders ist auch vorliegend zu verfahren. Es ist daher auf die von der Beschwerdef?hrerin eingereichten Buchhaltungsabschl?sse der Erbengemeinschaft Rutz per 31. Dezember 2009 (Urk. 19/7a S. 3) f?r die Anspruchsperiode Dezember 2010 und auf die Buchhaltung per 31. Dezember 2010 (Urk. 19/21d) f?r die Anspruchsperiode Januar bis September 2011 abzustellen, welche ausserdem Basis f?r die eingereichten Steuererkl?rungen bildeten. Anstatt der dort angegebene Liegenschaftswert (Fr. 174?600.--) ist jedoch der vorgenannte ?bernahmewert von Fr. 200?000.-- (vgl. vorstehend E. 4.2) einzusetzen und der Differenzbetrag von Fr. 25?400.-- (Fr. 200?000.-- minus Fr. 174?600.--) zu den Aktiven (Fr. 180?539.25 f?r das Jahr 2009, Urk. 19/7a S. 3; Fr. 187?121.40 f?r das Jahr 2010, Urk. 19/21d S. 1) hinzuzurechnen, was einen Betrag von Fr. 205?939.25 f?r den Abschluss per 31. Dezember 2009 beziehungsweise Fr. 212?521.40 per 31. Dezember 2010 ergibt. Von diesen Aktivverm?gen sind sodann die aufgef?hrten Fremdkapitalkosten von Fr. 142?619.-- betreffend das Jahr 2009 (Urk. 19/7a S. 3) beziehungsweise Fr. 145?266.55 (Urk. 19/21d S. 3) f?r das Jahr 2010 abzuziehen, womit ein vorl?ufiges Nachlassverm?gen per Ende 2009 von Fr. 63?320.25 und von Fr. 67?254.85 per Ende 2010 resultiert. Unter Ber?cksichtigung des Erbanteils der Beschwerdef?hrerin von 5/6 des Nachlasses ergibt dies ein zu ber?cksichtigendes Nachlassverm?gen per Ende 2009 von Fr. 52?767.-- beziehungsweise Fr. 56?045.-- per Ende 2010 aus der unverteilten Erbschaft.</w:t>
      </w:r>
    </w:p>
    <w:p>
      <w:r>
        <w:t>4.4???? Zusammen mit den Wertschriften gem?ss der Steuererkl?rung von 2009 per 31. Dezember 2009 (Urk. 19/8g) von total Fr. 11?967.-- (vgl. Wertschriften- und Guthabenverzeichnis; vgl. auch Steuerausscheidung 2009 Kanton Z.___, Endg?ltige Veranlagung, Urk. 19/7f) beziehungsweise von Fr. 9?523.-- (Steuererkl?rung 2010, Wertschriften und Guthaben; Urk. 19/21c) resultiert vor Ber?cksichtigung des gesetzlichen Freibetrages ein Reinverm?gen der Beschwerdef?hrerin per 1. Januar 2010 im Betrag von Fr. 64?734.-- (Fr. 52?767.-- + Fr. 11?967.--) und ein solches von Fr. 65?568.-- (Fr. 56?045.-- + Fr. 9?523.--) per 1. Januar 2011. ?In Anwendung von Art. 23 Abs. 1 ELV, wonach f?r die Berechnung der j?hrlichen Erg?nzungsleistungen das am 1. Januar des Bezugsjahres vorhandene Verm?gen massgebend ist (vgl. vorstehend E. 2.1), ist f?r die Anspruchsberechnung von diesen beiden vorgenannten Verm?gensbetr?gen der Beschwerdef?hrerin auszugehen.</w:t>
      </w:r>
    </w:p>
    <w:p>
      <w:r>
        <w:t>4.5???? Zusammenfassend kann festgehalten werden, dass von einem anrechenbaren Reinverm?gen der Beschwerdef?hrerin f?r die Zeitperiode Dezember 2010 von Fr. 64?734.-- auszugehen und f?r die Anspruchsperiode Januar 2011 bis September 2011 ein Verm?gen von Fr. 65?568.-- zu ber?cksichtigen ist (vgl. vorstehend E. 4.5). Die Beschwerdegegnerin wird den Anspruch auf Zusatzleistungen f?r die strittige Periode von Dezember 2010 bis September 2011 folglich und gest?tzt auf die vorgenannten Verm?gensst?nde neu zu berechnen haben. Der angefochtene Einspracheentscheid vom 2. April 2012 (Urk. 2) ist in teilweiser Gutheissung der Beschwerde aufzuheben und die Sache ist an die Beschwerdegegnerin zur?ckzuweisen, damit sie den Anspruch auf Zusatzleistungen der Beschwerdef?hrerin im Sinne der Erw?gungen neu berechne.</w:t>
      </w:r>
    </w:p>
    <w:p>
      <w:r>
        <w:t>Die Einzelrichterin erkennt:</w:t>
      </w:r>
    </w:p>
    <w:p>
      <w:r>
        <w:t>1.???????? In Gutheissung der Beschwerde wird gem?ss Verf?gung der Stadt S.___ , Amt f?r Zusatzleistungen zur AHV/IV, vom 24. Mai 2012 festgestellt, dass die Beschwerdef?hrerin f?r die Zeit von 1. Oktober bis 31. Dezember 2011 Anspruch auf Erg?nzungsleistungen von monatlich Fr. 924.-- und ab Januar 2012 von monatlich Fr. 950.-- hat. Betreffend den Anspruch der Beschwerdef?hrerin vom 1. Dezember 2010 bis 30. September 2011 wird die Beschwerde in dem Sinne teilweise gutgeheissen, dass der angefochtene Einspracheentscheid vom 2. April 2012 aufgehoben und die Sache an die Stadt Z?rich, Amt f?r Zusatzleistungen zur AHV/IV, zur?ckgewiesen wird, damit diese den Anspruch auf Zusatzleistungen der Beschwerdef?hrerin im Sinne der Erw?gungen neu berechne.</w:t>
      </w:r>
    </w:p>
    <w:p>
      <w:r>
        <w:t>?????????? Die Akten werden nach Eintritt der Rechtskraft dieses Urteils der Stadt Z?rich, Amt f?r Zusatzleistungen zur AHV/IV, zugestellt.</w:t>
      </w:r>
    </w:p>
    <w:p>
      <w:r>
        <w:t>2.???????? Das Verfahren ist kostenlos.</w:t>
      </w:r>
    </w:p>
    <w:p>
      <w:r>
        <w:t>3.???????? Zustellung gegen Empfangsschein an:</w:t>
      </w:r>
    </w:p>
    <w:p>
      <w:r>
        <w:t>- Y.___</w:t>
      </w:r>
    </w:p>
    <w:p>
      <w:r>
        <w:t>- Stadt S.___ , Amt f?r Zusatzleistungen zur AHV/IV</w:t>
      </w:r>
    </w:p>
    <w:p>
      <w:r>
        <w:t>- Bundesamt f?r Sozialversicherungen</w:t>
      </w:r>
    </w:p>
    <w:p>
      <w:r>
        <w:t>- Sicherheitsdirektion Kanton Z?rich</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