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ZL.2012.00016 vom 24. Januar 2012</w:t>
      </w:r>
    </w:p>
    <w:p>
      <w:r>
        <w:t>ZH Sozialversicherungsgericht, 2012-01-24, DE</w:t>
      </w:r>
    </w:p>
    <w:p>
      <w:r>
        <w:rPr>
          <w:b/>
        </w:rPr>
        <w:t xml:space="preserve">Quelle: </w:t>
      </w:r>
      <w:r>
        <w:t>https://mcp.opencaselaw.ch/entscheid/zh_sozialversicherungsgericht_ZL.2012.00016</w:t>
      </w:r>
    </w:p>
    <w:p>
      <w:r>
        <w:t>FR: ZH_SOZIALVERSICHERUNGSGERICHT ZL.2012.00016 du 24 janvier 2012</w:t>
      </w:r>
    </w:p>
    <w:p>
      <w:r>
        <w:t>IT: ZH_SOZIALVERSICHERUNGSGERICHT ZL.2012.00016 del 24 gennaio 2012</w:t>
      </w:r>
    </w:p>
    <w:p>
      <w:pPr>
        <w:pStyle w:val="Heading2"/>
      </w:pPr>
      <w:r>
        <w:t>Erwägungen</w:t>
      </w:r>
    </w:p>
    <w:p>
      <w:r>
        <w:rPr>
          <w:b/>
        </w:rPr>
        <w:t>E. 1</w:t>
      </w:r>
    </w:p>
    <w:p>
      <w:r>
        <w:t>1.1Â Â Â Â Â Â Â Â Â  GemÃ¤ss Art. 59 des Bundesgesetzes Ã¼ber den Allgemeinen Teil des Sozialversi-cherungsrechts (ATSG) ist zur Beschwerde an ein kantonales Versicherungs-gericht legitimiert, wer durch die angefochtene VerfÃ¼gung oder den Ein-spracheentscheid berÃ¼hrt ist und ein schutzwÃ¼rdiges Interesse an deren Aufhebung oder Ãnderung hat.</w:t>
      </w:r>
    </w:p>
    <w:p>
      <w:r>
        <w:t>Â Â Â Â Â Â Â Â Â  Der Begriff des schutzwÃ¼rdigen Interesses fÃ¼r das Verfahren vor dem kantonalen Versicherungsgericht ist gleich auszulegen wie derjenige nach Art. 89 Abs. 1 lit. c des Bundesgerichtsgesetzes (BGG) fÃ¼r das Verfahren der Beschwerde in Ã¶ffentlich-rechtlichen Angelegenheiten vor dem Bundesgericht. Ein schutzwÃ¼rdiges Interesse liegt somit vor, wenn die tatsÃ¤chliche oder rechtliche Situation der Rechtsuchenden durch den Ausgang des Verfahrens beeinflusst werden kann. Dabei wird verlangt, dass die Beschwerde fÃ¼hrende Person durch den angefochtenen Verwaltungsakt stÃ¤rker als jedermann betroffen ist und in einer besonderen, beachtenswerten, nahen Beziehung zur Streitsache steht (BGE 136 V 7 E. 2.1 mit Hinweisen).</w:t>
      </w:r>
    </w:p>
    <w:p>
      <w:r>
        <w:t>1.2Â Â Â Â  Der rechtsprechungsgemÃ¤ss gleich auszulegende Begriff des ÂBerÃ¼hrtseins" findet sich in Art. 49 Abs. 4 ATSG, wonach VerfÃ¼gungen eines VersicherungstrÃ¤gers, welche die Leistungspflicht eines anderen TrÃ¤gers berÃ¼hren, auch diesem zu erÃ¶ffnen sind und letzterer danach die gleichen Rechtsmittel wie die versicherte Person ergreifen kann (BGE 130 V 390 E. 2.2).</w:t>
      </w:r>
    </w:p>
    <w:p>
      <w:r>
        <w:rPr>
          <w:b/>
        </w:rPr>
        <w:t>E. 2</w:t>
      </w:r>
    </w:p>
    <w:p>
      <w:r>
        <w:t>2.1Â Â Â Â Â Â Â Â Â  GemÃ¤ss Art. 9 Abs. 1 des Bundesgesetzes Ã¼ber die ErgÃ¤nzungsleistungen zur AHV/IV (ELG) entspricht die jÃ¤hrliche ErgÃ¤nzungsleistung dem Betrag, um den die anerkannten Ausgaben die anrechenbaren Einnahmen Ã¼bersteigen. Die anerkannten Ausgaben und anrechenbaren Einnahmen von Ehegatten und von Personen mit rentenberechtigten Waisen und mit Kindern, die einen Anspruch auf eine Kinderrente der AHV oder IV begrÃ¼nden, werden zusammengerechnet (Art. 9 Abs. 2 ELG).</w:t>
      </w:r>
    </w:p>
    <w:p>
      <w:r>
        <w:t>2.2Â Â Â Â Â Â Â Â Â  Anspruch auf eine Kinderrente der IV gemÃ¤ss Art. 35 Abs. 1 des Bundesgesetzes Ã¼ber die Invalidenversicherung (IVG) in Verbindung mit Art. 25 Abs. 4 und 5 des Bundesgesetzes Ã¼ber die Alters- und Hinterlassenenversicherung (AHVG) haben minderjÃ¤hrige sowie volljÃ¤hrige Kinder bis zum Abschluss der Ausbildung, lÃ¤ngstens jedoch bis zum 25. Altersjahr.</w:t>
      </w:r>
    </w:p>
    <w:p>
      <w:r>
        <w:rPr>
          <w:b/>
        </w:rPr>
        <w:t>E. 3</w:t>
      </w:r>
    </w:p>
    <w:p>
      <w:r>
        <w:t>3.1Â Â Â Â  Die Beschwerdegegnerin hat auf Einsprache der BeschwerdefÃ¼hrerin gegen die VerfÃ¼gung vom 20. Dezember 2011 betreffend jÃ¤hrliche Zusatzleistungen deren Leistungsanspruch in der Sache geprÃ¼ft und dabei ausgefÃ¼hrt, dass der Vater eine Invalidenrente sowie Zusatzleistungen beziehe. Den entsprechenden Einspracheentscheid erÃ¶ffnete sie gemÃ¤ss Mitteilungssatz im angefochtenen Entscheid (Urk. 2 S. 3) nicht dem zusatzleistungsberechtigten Vater, sondern der in Ausbildung stehenden Tochter (Urk. 2), die nunmehr in eigenem Namen Beschwerde fÃ¼hrt und Leistungen beansprucht (vgl. Urk. 1).</w:t>
      </w:r>
    </w:p>
    <w:p>
      <w:r>
        <w:t>3.2Â Â Â Â  Die Parteien Ã¼bersehen, dass Anspruch auf ErgÃ¤nzungsleistungen allein die EL-berechtigte Person hat, mithin hier der die Invalidenrente beziehende Vater der BeschwerdefÃ¼hrerin. Das Kind hat hingegen keinen eigenen Anspruch auf ErgÃ¤nzungsleistungen, weshalb ihm auch keine Entscheide zugestellt und die wirtschaftlichen und persÃ¶nlichen VerhÃ¤ltnisse des Berechtigten nicht offen gelegt werden dÃ¼rfen (Carigiet/Koch, ErgÃ¤nzungsleistungen zur AHV/IV, 2. Ã¼berarbeitete und ergÃ¤nzte Auflage, ZÃ¼rich 2009, S. 131).</w:t>
      </w:r>
    </w:p>
    <w:p>
      <w:r>
        <w:t>Â Â Â Â Â Â Â Â Â  Der EL-Leistungsanspruch ist demnach akzessorisch zur IV-Rente, weshalb die ErgÃ¤nzungsleistungen - wie auch die Kinderrenten (Art. 35 IVG) - grundsÃ¤tzlich an den EL-berechtigten Elternteil ausbezahlt werden. Vorbehalten bleiben die hier nicht interessierenden Bestimmungen Ã¼ber die zweckgemÃ¤sse Verwendung (Art. 20 des Bundesgesetzes Ã¼ber den Allgemeinen Teil des Sozialversicherungsrechts, ATSG) und abweichende zivilrichterliche Anordnungen (Art. 35 Abs. 4 Satz 2 IVG).</w:t>
      </w:r>
    </w:p>
    <w:p>
      <w:r>
        <w:t>Â Â Â Â Â Â Â Â Â  In den gesetzlichen Bestimmungen ist eine Drittauszahlung der EL-Leistungen an das mÃ¼ndige Kind nicht vorgesehen. Vielmehr hat der EL-berechtigte Elternteil die sozialversicherungsrechtlichen Leistungen zur ErfÃ¼llung seiner Unterhaltspflichten an das in Ausbildung stehende mÃ¼ndige Kind weiterzuleiten (Carigiet/Koch, a.a.O., S. 131). Wie die Kinderrente sollen die Zusatzleistungen somit dem invaliden Elternteil ermÃ¶glichen, seiner Unterhaltspflicht nachzukommen, weshalb der Anspruch dem RentenempfÃ¤nger und nicht direkt dem Kind zusteht.</w:t>
      </w:r>
    </w:p>
    <w:p>
      <w:r>
        <w:t>3.3Â Â Â Â  Nach der in Art. 285 des Zivilgesetzbuches (ZGB) enthaltenen Regelung ist es Sache der Zivilgerichte, aufgrund einer GesamtwÃ¼rdigung der finanziellen VerhÃ¤ltnisse der Eltern die UnterhaltsbeitrÃ¤ge des Kindes festzusetzen und dabei den sozialversicherungsrechtlichen LeistungsansprÃ¼chen in gesamthafter Betrachtung Rechnung zu tragen. Da es sich um eine zivilrechtliche Verpflichtung handelt, kann im sozialversicherungsrechtlichen Leistungs(streit)verfahren auch nicht Ã¼ber die Unterhaltspflicht gemÃ¤ss Art. 285 Abs. 2 oder 2 bis</w:t>
      </w:r>
    </w:p>
    <w:p>
      <w:r>
        <w:t>ZGB befunden werden (vgl. mit Bezug auf die Kinderrenten BGE 134 V 15 E. 2.3.5 mit Hinweis).</w:t>
      </w:r>
    </w:p>
    <w:p>
      <w:r>
        <w:t>Â Â Â Â Â Â Â Â Â  Aufgrund des Umstandes, dass es bei den Zusatzleistungen fÃ¼r die in Ausbildung stehenden Kinder um einen Anspruch des Unterhaltsschuldners geht, welcher die Rechtsstellung des unterhaltsberechtigten mÃ¼ndigen Kindes nicht zu prÃ¤judizieren vermag, besteht kein hinreichendes ÂBerÃ¼hrtsein", um eine Legitimation des mÃ¼ndigen Kindes zur Anfechtung des Entscheides betreffend Zusatzleistungen zu begrÃ¼nden.</w:t>
      </w:r>
    </w:p>
    <w:p>
      <w:r>
        <w:t>Â Â Â Â Â Â Â Â Â  Zu beachten ist in diesem Zusammenhang auch, dass die Befugnis von Blutsverwandten in auf- und absteigender Linie zur Beschwerdeerhebung im eigenen Namen bei der Ausarbeitung des ATSG bewusst gestrichen und in diesem Sinne eingeschrÃ¤nkt worden war (Kieser, ATSG-Kommentar, 2. Auflage, ZÃ¼rich, Basel, Genf 2009, N 11 zu Art. 59).</w:t>
      </w:r>
    </w:p>
    <w:p>
      <w:r>
        <w:rPr>
          <w:b/>
        </w:rPr>
        <w:t>E. 4</w:t>
      </w:r>
    </w:p>
    <w:p>
      <w:r>
        <w:t>4.1Â Â Â Â  Nach dem Gesagten ist die BeschwerdefÃ¼hrerin nicht zur BeschwerdefÃ¼hrung befugt, ebenso wenig wie zur Anfechtung der dem Einspracheentscheid zu Grunde liegenden VerfÃ¼gung der Beschwerdegegnerin, mit welcher Ã¼ber den laufenden ErgÃ¤nzungsleistungsanspruch des Vaters entschieden wurde. Mangels Beschwerdelegitimation ist auf ihre Beschwerde daher nicht einzutreten.</w:t>
      </w:r>
    </w:p>
    <w:p>
      <w:r>
        <w:t>Â Â Â Â Â Â Â Â Â  Zu Unrecht hat die Beschwerdegegnerin die Einsprache der BeschwerdefÃ¼hrerin in der Sache behandelt beziehungsweise Ã¼berhaupt eine an sie adressierte VerfÃ¼gung erlassen. Mangels eigener Legitimation der Tochter des Leistungsansprechers hÃ¤tte die Beschwerdegegnerin auf ihre Einsprache gar nicht eintreten und ihr gar keinen Einspracheentscheid und keine VerfÃ¼gung betreffend die VerhÃ¤ltnisse des Vaters erÃ¶ffnen dÃ¼rfen.</w:t>
      </w:r>
    </w:p>
    <w:p>
      <w:r>
        <w:t>4.2Â Â Â Â  Da sich nach dem Gesagten die Beschwerde als offensichtlich unzulÃ¤ssig erweist, kann ohne Einholung der Akten und ohne AnhÃ¶rung der Gegenpartei sofort entschieden werden (Â§ 19 Abs. 2 des Gesetzes Ã¼ber das Sozialversicherungsgericht).</w:t>
      </w:r>
    </w:p>
    <w:p>
      <w:r>
        <w:t>Das Gericht beschliesst:</w:t>
      </w:r>
    </w:p>
    <w:p>
      <w:r>
        <w:t>1.Â Â Â Â Â Â Â Â  Auf die Beschwerde wird nicht eingetreten.</w:t>
      </w:r>
    </w:p>
    <w:p>
      <w:r>
        <w:t>2.Â Â Â Â Â Â Â Â  Das Verfahren ist kostenlos.</w:t>
      </w:r>
    </w:p>
    <w:p>
      <w:r>
        <w:t>3.Â Â Â Â Â Â Â Â Â Â  Zustellung gegen Empfangsschein an:</w:t>
      </w:r>
    </w:p>
    <w:p>
      <w:r>
        <w:t>- X.___</w:t>
      </w:r>
    </w:p>
    <w:p>
      <w:r>
        <w:t>- Stadt Y.___ unter Beilage einer Kopie von Urk. 1</w:t>
      </w:r>
    </w:p>
    <w:p>
      <w:r>
        <w:t>- Bundesamt fÃ¼r Sozialversicherungen</w:t>
      </w:r>
    </w:p>
    <w:p>
      <w:r>
        <w:t>- Sicherheitsdirektion Kanton ZÃ¼rich</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